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27A" w:rsidRPr="007D29A1" w:rsidRDefault="00DB127A" w:rsidP="00DB127A">
      <w:pPr>
        <w:pStyle w:val="Titolo2"/>
        <w:spacing w:before="0" w:after="240" w:line="276" w:lineRule="auto"/>
        <w:ind w:firstLine="709"/>
        <w:rPr>
          <w:rFonts w:ascii="Times New Roman" w:eastAsia="Times New Roman" w:hAnsi="Times New Roman" w:cs="Times New Roman"/>
          <w:sz w:val="28"/>
          <w:szCs w:val="28"/>
          <w:lang w:eastAsia="it-IT"/>
        </w:rPr>
      </w:pPr>
      <w:bookmarkStart w:id="0" w:name="_Toc39914016"/>
      <w:r w:rsidRPr="007D29A1">
        <w:rPr>
          <w:rFonts w:ascii="Times New Roman" w:eastAsia="Times New Roman" w:hAnsi="Times New Roman" w:cs="Times New Roman"/>
          <w:sz w:val="28"/>
          <w:szCs w:val="28"/>
          <w:lang w:eastAsia="it-IT"/>
        </w:rPr>
        <w:t>GIOCHI E SCOMMESSE</w:t>
      </w:r>
      <w:bookmarkEnd w:id="0"/>
    </w:p>
    <w:p w:rsidR="00DB127A" w:rsidRPr="007D29A1" w:rsidRDefault="00DB127A" w:rsidP="00DB127A">
      <w:pPr>
        <w:spacing w:after="0" w:line="276" w:lineRule="auto"/>
        <w:ind w:firstLine="709"/>
        <w:jc w:val="both"/>
        <w:rPr>
          <w:rFonts w:ascii="Times New Roman" w:eastAsia="Times New Roman" w:hAnsi="Times New Roman" w:cs="Times New Roman"/>
          <w:color w:val="222222"/>
          <w:spacing w:val="8"/>
          <w:sz w:val="28"/>
          <w:szCs w:val="28"/>
          <w:lang w:eastAsia="it-IT"/>
        </w:rPr>
      </w:pPr>
      <w:r w:rsidRPr="007D29A1">
        <w:rPr>
          <w:rFonts w:ascii="Times New Roman" w:eastAsia="Times New Roman" w:hAnsi="Times New Roman" w:cs="Times New Roman"/>
          <w:color w:val="222222"/>
          <w:spacing w:val="8"/>
          <w:sz w:val="28"/>
          <w:szCs w:val="28"/>
          <w:lang w:eastAsia="it-IT"/>
        </w:rPr>
        <w:t xml:space="preserve">Nel corso dell’ultimo decennio si è assistito ad una considerevole crescita del </w:t>
      </w:r>
      <w:r w:rsidRPr="005202D1">
        <w:rPr>
          <w:rFonts w:ascii="Times New Roman" w:eastAsia="Times New Roman" w:hAnsi="Times New Roman" w:cs="Times New Roman"/>
          <w:i/>
          <w:color w:val="222222"/>
          <w:spacing w:val="8"/>
          <w:sz w:val="28"/>
          <w:szCs w:val="28"/>
          <w:lang w:eastAsia="it-IT"/>
        </w:rPr>
        <w:t>busine</w:t>
      </w:r>
      <w:r w:rsidRPr="005202D1">
        <w:rPr>
          <w:rFonts w:ascii="Times New Roman" w:eastAsia="Times New Roman" w:hAnsi="Times New Roman" w:cs="Times New Roman"/>
          <w:color w:val="222222"/>
          <w:spacing w:val="8"/>
          <w:sz w:val="28"/>
          <w:szCs w:val="28"/>
          <w:lang w:eastAsia="it-IT"/>
        </w:rPr>
        <w:t>ss</w:t>
      </w:r>
      <w:r w:rsidRPr="007D29A1">
        <w:rPr>
          <w:rFonts w:ascii="Times New Roman" w:eastAsia="Times New Roman" w:hAnsi="Times New Roman" w:cs="Times New Roman"/>
          <w:color w:val="222222"/>
          <w:spacing w:val="8"/>
          <w:sz w:val="28"/>
          <w:szCs w:val="28"/>
          <w:lang w:eastAsia="it-IT"/>
        </w:rPr>
        <w:t xml:space="preserve"> gravitante attorno</w:t>
      </w:r>
      <w:r>
        <w:rPr>
          <w:rFonts w:ascii="Times New Roman" w:eastAsia="Times New Roman" w:hAnsi="Times New Roman" w:cs="Times New Roman"/>
          <w:color w:val="222222"/>
          <w:spacing w:val="8"/>
          <w:sz w:val="28"/>
          <w:szCs w:val="28"/>
          <w:lang w:eastAsia="it-IT"/>
        </w:rPr>
        <w:t xml:space="preserve"> al settore</w:t>
      </w:r>
      <w:r w:rsidRPr="007D29A1">
        <w:rPr>
          <w:rFonts w:ascii="Times New Roman" w:eastAsia="Times New Roman" w:hAnsi="Times New Roman" w:cs="Times New Roman"/>
          <w:color w:val="222222"/>
          <w:spacing w:val="8"/>
          <w:sz w:val="28"/>
          <w:szCs w:val="28"/>
          <w:lang w:eastAsia="it-IT"/>
        </w:rPr>
        <w:t xml:space="preserve"> c.d</w:t>
      </w:r>
      <w:r w:rsidRPr="007D29A1">
        <w:rPr>
          <w:rFonts w:ascii="Times New Roman" w:eastAsia="Times New Roman" w:hAnsi="Times New Roman" w:cs="Times New Roman"/>
          <w:i/>
          <w:color w:val="222222"/>
          <w:spacing w:val="8"/>
          <w:sz w:val="28"/>
          <w:szCs w:val="28"/>
          <w:lang w:eastAsia="it-IT"/>
        </w:rPr>
        <w:t>.</w:t>
      </w:r>
      <w:r>
        <w:rPr>
          <w:rFonts w:ascii="Times New Roman" w:eastAsia="Times New Roman" w:hAnsi="Times New Roman" w:cs="Times New Roman"/>
          <w:i/>
          <w:color w:val="222222"/>
          <w:spacing w:val="8"/>
          <w:sz w:val="28"/>
          <w:szCs w:val="28"/>
          <w:lang w:eastAsia="it-IT"/>
        </w:rPr>
        <w:t xml:space="preserve"> </w:t>
      </w:r>
      <w:r w:rsidRPr="005202D1">
        <w:rPr>
          <w:rFonts w:ascii="Times New Roman" w:eastAsia="Times New Roman" w:hAnsi="Times New Roman" w:cs="Times New Roman"/>
          <w:color w:val="222222"/>
          <w:spacing w:val="8"/>
          <w:sz w:val="28"/>
          <w:szCs w:val="28"/>
          <w:lang w:eastAsia="it-IT"/>
        </w:rPr>
        <w:t>del</w:t>
      </w:r>
      <w:r w:rsidRPr="007D29A1">
        <w:rPr>
          <w:rFonts w:ascii="Times New Roman" w:eastAsia="Times New Roman" w:hAnsi="Times New Roman" w:cs="Times New Roman"/>
          <w:i/>
          <w:color w:val="222222"/>
          <w:spacing w:val="8"/>
          <w:sz w:val="28"/>
          <w:szCs w:val="28"/>
          <w:lang w:eastAsia="it-IT"/>
        </w:rPr>
        <w:t xml:space="preserve"> </w:t>
      </w:r>
      <w:r w:rsidRPr="0027491C">
        <w:rPr>
          <w:rFonts w:ascii="Times New Roman" w:eastAsia="Times New Roman" w:hAnsi="Times New Roman" w:cs="Times New Roman"/>
          <w:b/>
          <w:i/>
          <w:color w:val="222222"/>
          <w:spacing w:val="8"/>
          <w:sz w:val="28"/>
          <w:szCs w:val="28"/>
          <w:lang w:eastAsia="it-IT"/>
        </w:rPr>
        <w:t>gaming</w:t>
      </w:r>
      <w:r w:rsidRPr="007D29A1">
        <w:rPr>
          <w:rStyle w:val="Rimandonotaapidipagina"/>
          <w:rFonts w:ascii="Times New Roman" w:eastAsia="Times New Roman" w:hAnsi="Times New Roman" w:cs="Times New Roman"/>
          <w:i/>
          <w:color w:val="222222"/>
          <w:spacing w:val="8"/>
          <w:sz w:val="28"/>
          <w:szCs w:val="28"/>
          <w:lang w:eastAsia="it-IT"/>
        </w:rPr>
        <w:footnoteReference w:id="1"/>
      </w:r>
      <w:r w:rsidRPr="007D29A1">
        <w:rPr>
          <w:rFonts w:ascii="Times New Roman" w:eastAsia="Times New Roman" w:hAnsi="Times New Roman" w:cs="Times New Roman"/>
          <w:color w:val="222222"/>
          <w:spacing w:val="8"/>
          <w:sz w:val="28"/>
          <w:szCs w:val="28"/>
          <w:lang w:eastAsia="it-IT"/>
        </w:rPr>
        <w:t xml:space="preserve">, che ha comportato </w:t>
      </w:r>
      <w:r>
        <w:rPr>
          <w:rFonts w:ascii="Times New Roman" w:eastAsia="Times New Roman" w:hAnsi="Times New Roman" w:cs="Times New Roman"/>
          <w:color w:val="222222"/>
          <w:spacing w:val="8"/>
          <w:sz w:val="28"/>
          <w:szCs w:val="28"/>
          <w:lang w:eastAsia="it-IT"/>
        </w:rPr>
        <w:t xml:space="preserve">senza dubbio </w:t>
      </w:r>
      <w:r w:rsidRPr="007D29A1">
        <w:rPr>
          <w:rFonts w:ascii="Times New Roman" w:eastAsia="Times New Roman" w:hAnsi="Times New Roman" w:cs="Times New Roman"/>
          <w:color w:val="222222"/>
          <w:spacing w:val="8"/>
          <w:sz w:val="28"/>
          <w:szCs w:val="28"/>
          <w:lang w:eastAsia="it-IT"/>
        </w:rPr>
        <w:t xml:space="preserve">una consistente dilatazione delle attività di gioco </w:t>
      </w:r>
      <w:r>
        <w:rPr>
          <w:rFonts w:ascii="Times New Roman" w:eastAsia="Times New Roman" w:hAnsi="Times New Roman" w:cs="Times New Roman"/>
          <w:color w:val="222222"/>
          <w:spacing w:val="8"/>
          <w:sz w:val="28"/>
          <w:szCs w:val="28"/>
          <w:lang w:eastAsia="it-IT"/>
        </w:rPr>
        <w:t>presenti</w:t>
      </w:r>
      <w:r w:rsidRPr="007D29A1">
        <w:rPr>
          <w:rFonts w:ascii="Times New Roman" w:eastAsia="Times New Roman" w:hAnsi="Times New Roman" w:cs="Times New Roman"/>
          <w:color w:val="222222"/>
          <w:spacing w:val="8"/>
          <w:sz w:val="28"/>
          <w:szCs w:val="28"/>
          <w:lang w:eastAsia="it-IT"/>
        </w:rPr>
        <w:t xml:space="preserve"> </w:t>
      </w:r>
      <w:r>
        <w:rPr>
          <w:rFonts w:ascii="Times New Roman" w:eastAsia="Times New Roman" w:hAnsi="Times New Roman" w:cs="Times New Roman"/>
          <w:color w:val="222222"/>
          <w:spacing w:val="8"/>
          <w:sz w:val="28"/>
          <w:szCs w:val="28"/>
          <w:lang w:eastAsia="it-IT"/>
        </w:rPr>
        <w:t>n</w:t>
      </w:r>
      <w:r w:rsidRPr="007D29A1">
        <w:rPr>
          <w:rFonts w:ascii="Times New Roman" w:eastAsia="Times New Roman" w:hAnsi="Times New Roman" w:cs="Times New Roman"/>
          <w:color w:val="222222"/>
          <w:spacing w:val="8"/>
          <w:sz w:val="28"/>
          <w:szCs w:val="28"/>
          <w:lang w:eastAsia="it-IT"/>
        </w:rPr>
        <w:t xml:space="preserve">el </w:t>
      </w:r>
      <w:r>
        <w:rPr>
          <w:rFonts w:ascii="Times New Roman" w:eastAsia="Times New Roman" w:hAnsi="Times New Roman" w:cs="Times New Roman"/>
          <w:color w:val="222222"/>
          <w:spacing w:val="8"/>
          <w:sz w:val="28"/>
          <w:szCs w:val="28"/>
          <w:lang w:eastAsia="it-IT"/>
        </w:rPr>
        <w:t>portafoglio di offerta</w:t>
      </w:r>
      <w:r w:rsidRPr="007D29A1">
        <w:rPr>
          <w:rFonts w:ascii="Times New Roman" w:eastAsia="Times New Roman" w:hAnsi="Times New Roman" w:cs="Times New Roman"/>
          <w:color w:val="222222"/>
          <w:spacing w:val="8"/>
          <w:sz w:val="28"/>
          <w:szCs w:val="28"/>
          <w:lang w:eastAsia="it-IT"/>
        </w:rPr>
        <w:t xml:space="preserve"> </w:t>
      </w:r>
      <w:r>
        <w:rPr>
          <w:rFonts w:ascii="Times New Roman" w:eastAsia="Times New Roman" w:hAnsi="Times New Roman" w:cs="Times New Roman"/>
          <w:color w:val="222222"/>
          <w:spacing w:val="8"/>
          <w:sz w:val="28"/>
          <w:szCs w:val="28"/>
          <w:lang w:eastAsia="it-IT"/>
        </w:rPr>
        <w:t>statale</w:t>
      </w:r>
      <w:r w:rsidRPr="007D29A1">
        <w:rPr>
          <w:rFonts w:ascii="Times New Roman" w:eastAsia="Times New Roman" w:hAnsi="Times New Roman" w:cs="Times New Roman"/>
          <w:color w:val="222222"/>
          <w:spacing w:val="8"/>
          <w:sz w:val="28"/>
          <w:szCs w:val="28"/>
          <w:lang w:eastAsia="it-IT"/>
        </w:rPr>
        <w:t xml:space="preserve">, di pari passo con il progresso della evoluzione tecnologica; difatti, </w:t>
      </w:r>
      <w:r>
        <w:rPr>
          <w:rFonts w:ascii="Times New Roman" w:eastAsia="Times New Roman" w:hAnsi="Times New Roman" w:cs="Times New Roman"/>
          <w:color w:val="222222"/>
          <w:spacing w:val="8"/>
          <w:sz w:val="28"/>
          <w:szCs w:val="28"/>
          <w:lang w:eastAsia="it-IT"/>
        </w:rPr>
        <w:t xml:space="preserve">una importante fetta di mercato, accanto </w:t>
      </w:r>
      <w:r w:rsidRPr="007D29A1">
        <w:rPr>
          <w:rFonts w:ascii="Times New Roman" w:eastAsia="Times New Roman" w:hAnsi="Times New Roman" w:cs="Times New Roman"/>
          <w:color w:val="222222"/>
          <w:spacing w:val="8"/>
          <w:sz w:val="28"/>
          <w:szCs w:val="28"/>
          <w:lang w:eastAsia="it-IT"/>
        </w:rPr>
        <w:t>al</w:t>
      </w:r>
      <w:r>
        <w:rPr>
          <w:rFonts w:ascii="Times New Roman" w:eastAsia="Times New Roman" w:hAnsi="Times New Roman" w:cs="Times New Roman"/>
          <w:color w:val="222222"/>
          <w:spacing w:val="8"/>
          <w:sz w:val="28"/>
          <w:szCs w:val="28"/>
          <w:lang w:eastAsia="it-IT"/>
        </w:rPr>
        <w:t>le storiche modalità di gioco</w:t>
      </w:r>
      <w:r w:rsidRPr="007D29A1">
        <w:rPr>
          <w:rFonts w:ascii="Times New Roman" w:eastAsia="Times New Roman" w:hAnsi="Times New Roman" w:cs="Times New Roman"/>
          <w:color w:val="222222"/>
          <w:spacing w:val="8"/>
          <w:sz w:val="28"/>
          <w:szCs w:val="28"/>
          <w:lang w:eastAsia="it-IT"/>
        </w:rPr>
        <w:t xml:space="preserve"> “fisico” (c.d. </w:t>
      </w:r>
      <w:r w:rsidRPr="007D29A1">
        <w:rPr>
          <w:rFonts w:ascii="Times New Roman" w:eastAsia="Times New Roman" w:hAnsi="Times New Roman" w:cs="Times New Roman"/>
          <w:i/>
          <w:color w:val="222222"/>
          <w:spacing w:val="8"/>
          <w:sz w:val="28"/>
          <w:szCs w:val="28"/>
          <w:lang w:eastAsia="it-IT"/>
        </w:rPr>
        <w:t>Retail Betting</w:t>
      </w:r>
      <w:r w:rsidRPr="007D29A1">
        <w:rPr>
          <w:rFonts w:ascii="Times New Roman" w:eastAsia="Times New Roman" w:hAnsi="Times New Roman" w:cs="Times New Roman"/>
          <w:color w:val="222222"/>
          <w:spacing w:val="8"/>
          <w:sz w:val="28"/>
          <w:szCs w:val="28"/>
          <w:lang w:eastAsia="it-IT"/>
        </w:rPr>
        <w:t>) e tramite apparecchiature</w:t>
      </w:r>
      <w:r>
        <w:rPr>
          <w:rFonts w:ascii="Times New Roman" w:eastAsia="Times New Roman" w:hAnsi="Times New Roman" w:cs="Times New Roman"/>
          <w:color w:val="222222"/>
          <w:spacing w:val="8"/>
          <w:sz w:val="28"/>
          <w:szCs w:val="28"/>
          <w:lang w:eastAsia="it-IT"/>
        </w:rPr>
        <w:t xml:space="preserve"> </w:t>
      </w:r>
      <w:r w:rsidRPr="007D29A1">
        <w:rPr>
          <w:rFonts w:ascii="Times New Roman" w:eastAsia="Times New Roman" w:hAnsi="Times New Roman" w:cs="Times New Roman"/>
          <w:i/>
          <w:color w:val="222222"/>
          <w:spacing w:val="8"/>
          <w:sz w:val="28"/>
          <w:szCs w:val="28"/>
          <w:lang w:eastAsia="it-IT"/>
        </w:rPr>
        <w:t>VLT</w:t>
      </w:r>
      <w:r w:rsidRPr="007D29A1">
        <w:rPr>
          <w:rStyle w:val="Rimandonotaapidipagina"/>
          <w:rFonts w:ascii="Times New Roman" w:eastAsia="Times New Roman" w:hAnsi="Times New Roman" w:cs="Times New Roman"/>
          <w:color w:val="222222"/>
          <w:spacing w:val="8"/>
          <w:sz w:val="28"/>
          <w:szCs w:val="28"/>
          <w:lang w:eastAsia="it-IT"/>
        </w:rPr>
        <w:footnoteReference w:id="2"/>
      </w:r>
      <w:r w:rsidRPr="007D29A1">
        <w:rPr>
          <w:rFonts w:ascii="Times New Roman" w:eastAsia="Times New Roman" w:hAnsi="Times New Roman" w:cs="Times New Roman"/>
          <w:color w:val="222222"/>
          <w:spacing w:val="8"/>
          <w:sz w:val="28"/>
          <w:szCs w:val="28"/>
          <w:lang w:eastAsia="it-IT"/>
        </w:rPr>
        <w:t xml:space="preserve">, </w:t>
      </w:r>
      <w:r>
        <w:rPr>
          <w:rFonts w:ascii="Times New Roman" w:eastAsia="Times New Roman" w:hAnsi="Times New Roman" w:cs="Times New Roman"/>
          <w:color w:val="222222"/>
          <w:spacing w:val="8"/>
          <w:sz w:val="28"/>
          <w:szCs w:val="28"/>
          <w:lang w:eastAsia="it-IT"/>
        </w:rPr>
        <w:t>è stata acquisita dal gioco</w:t>
      </w:r>
      <w:r w:rsidRPr="007D29A1">
        <w:rPr>
          <w:rFonts w:ascii="Times New Roman" w:eastAsia="Times New Roman" w:hAnsi="Times New Roman" w:cs="Times New Roman"/>
          <w:color w:val="222222"/>
          <w:spacing w:val="8"/>
          <w:sz w:val="28"/>
          <w:szCs w:val="28"/>
          <w:lang w:eastAsia="it-IT"/>
        </w:rPr>
        <w:t xml:space="preserve"> </w:t>
      </w:r>
      <w:r w:rsidRPr="007D29A1">
        <w:rPr>
          <w:rFonts w:ascii="Times New Roman" w:eastAsia="Times New Roman" w:hAnsi="Times New Roman" w:cs="Times New Roman"/>
          <w:i/>
          <w:color w:val="222222"/>
          <w:spacing w:val="8"/>
          <w:sz w:val="28"/>
          <w:szCs w:val="28"/>
          <w:lang w:eastAsia="it-IT"/>
        </w:rPr>
        <w:t>on-line</w:t>
      </w:r>
      <w:r w:rsidRPr="007D29A1">
        <w:rPr>
          <w:rFonts w:ascii="Times New Roman" w:eastAsia="Times New Roman" w:hAnsi="Times New Roman" w:cs="Times New Roman"/>
          <w:color w:val="222222"/>
          <w:spacing w:val="8"/>
          <w:sz w:val="28"/>
          <w:szCs w:val="28"/>
          <w:lang w:eastAsia="it-IT"/>
        </w:rPr>
        <w:t xml:space="preserve">, che </w:t>
      </w:r>
      <w:r>
        <w:rPr>
          <w:rFonts w:ascii="Times New Roman" w:eastAsia="Times New Roman" w:hAnsi="Times New Roman" w:cs="Times New Roman"/>
          <w:color w:val="222222"/>
          <w:spacing w:val="8"/>
          <w:sz w:val="28"/>
          <w:szCs w:val="28"/>
          <w:lang w:eastAsia="it-IT"/>
        </w:rPr>
        <w:t xml:space="preserve">rappresenta ad oggi una </w:t>
      </w:r>
      <w:r w:rsidRPr="007D29A1">
        <w:rPr>
          <w:rFonts w:ascii="Times New Roman" w:eastAsia="Times New Roman" w:hAnsi="Times New Roman" w:cs="Times New Roman"/>
          <w:color w:val="222222"/>
          <w:spacing w:val="8"/>
          <w:sz w:val="28"/>
          <w:szCs w:val="28"/>
          <w:lang w:eastAsia="it-IT"/>
        </w:rPr>
        <w:t>imp</w:t>
      </w:r>
      <w:r>
        <w:rPr>
          <w:rFonts w:ascii="Times New Roman" w:eastAsia="Times New Roman" w:hAnsi="Times New Roman" w:cs="Times New Roman"/>
          <w:color w:val="222222"/>
          <w:spacing w:val="8"/>
          <w:sz w:val="28"/>
          <w:szCs w:val="28"/>
          <w:lang w:eastAsia="it-IT"/>
        </w:rPr>
        <w:t>ortante, se non maggioritaria, voce</w:t>
      </w:r>
      <w:r w:rsidRPr="007D29A1">
        <w:rPr>
          <w:rFonts w:ascii="Times New Roman" w:eastAsia="Times New Roman" w:hAnsi="Times New Roman" w:cs="Times New Roman"/>
          <w:color w:val="222222"/>
          <w:spacing w:val="8"/>
          <w:sz w:val="28"/>
          <w:szCs w:val="28"/>
          <w:lang w:eastAsia="it-IT"/>
        </w:rPr>
        <w:t xml:space="preserve"> di ricavi</w:t>
      </w:r>
      <w:r>
        <w:rPr>
          <w:rFonts w:ascii="Times New Roman" w:eastAsia="Times New Roman" w:hAnsi="Times New Roman" w:cs="Times New Roman"/>
          <w:color w:val="222222"/>
          <w:spacing w:val="8"/>
          <w:sz w:val="28"/>
          <w:szCs w:val="28"/>
          <w:lang w:eastAsia="it-IT"/>
        </w:rPr>
        <w:t xml:space="preserve"> rivenienti </w:t>
      </w:r>
      <w:r w:rsidRPr="007D29A1">
        <w:rPr>
          <w:rFonts w:ascii="Times New Roman" w:eastAsia="Times New Roman" w:hAnsi="Times New Roman" w:cs="Times New Roman"/>
          <w:color w:val="222222"/>
          <w:spacing w:val="8"/>
          <w:sz w:val="28"/>
          <w:szCs w:val="28"/>
          <w:lang w:eastAsia="it-IT"/>
        </w:rPr>
        <w:t>dal settore.</w:t>
      </w:r>
    </w:p>
    <w:p w:rsidR="00DB127A" w:rsidRPr="007D29A1" w:rsidRDefault="00DB127A" w:rsidP="00DB127A">
      <w:pPr>
        <w:spacing w:after="0" w:line="276" w:lineRule="auto"/>
        <w:ind w:firstLine="709"/>
        <w:jc w:val="both"/>
        <w:rPr>
          <w:rFonts w:ascii="Times New Roman" w:eastAsia="Times New Roman" w:hAnsi="Times New Roman" w:cs="Times New Roman"/>
          <w:color w:val="222222"/>
          <w:spacing w:val="8"/>
          <w:sz w:val="28"/>
          <w:szCs w:val="28"/>
          <w:lang w:eastAsia="it-IT"/>
        </w:rPr>
      </w:pPr>
      <w:r w:rsidRPr="007D29A1">
        <w:rPr>
          <w:rFonts w:ascii="Times New Roman" w:eastAsia="Times New Roman" w:hAnsi="Times New Roman" w:cs="Times New Roman"/>
          <w:color w:val="222222"/>
          <w:spacing w:val="8"/>
          <w:sz w:val="28"/>
          <w:szCs w:val="28"/>
          <w:lang w:eastAsia="it-IT"/>
        </w:rPr>
        <w:t>Il dato sopra riportato appare quasi paradossale laddove ci si avveda che la condizione economia dei cittadini ha subito, con il nuovo millennio, un significativo peggioramento.</w:t>
      </w:r>
    </w:p>
    <w:p w:rsidR="00DB127A" w:rsidRPr="007D29A1" w:rsidRDefault="00DB127A" w:rsidP="00DB127A">
      <w:pPr>
        <w:spacing w:after="0" w:line="276" w:lineRule="auto"/>
        <w:ind w:firstLine="709"/>
        <w:jc w:val="both"/>
        <w:rPr>
          <w:rFonts w:ascii="Times New Roman" w:eastAsia="Times New Roman" w:hAnsi="Times New Roman" w:cs="Times New Roman"/>
          <w:color w:val="222222"/>
          <w:spacing w:val="8"/>
          <w:sz w:val="28"/>
          <w:szCs w:val="28"/>
          <w:lang w:eastAsia="it-IT"/>
        </w:rPr>
      </w:pPr>
      <w:r w:rsidRPr="007D29A1">
        <w:rPr>
          <w:rFonts w:ascii="Times New Roman" w:eastAsia="Times New Roman" w:hAnsi="Times New Roman" w:cs="Times New Roman"/>
          <w:color w:val="222222"/>
          <w:spacing w:val="8"/>
          <w:sz w:val="28"/>
          <w:szCs w:val="28"/>
          <w:lang w:eastAsia="it-IT"/>
        </w:rPr>
        <w:t xml:space="preserve">Va </w:t>
      </w:r>
      <w:r>
        <w:rPr>
          <w:rFonts w:ascii="Times New Roman" w:eastAsia="Times New Roman" w:hAnsi="Times New Roman" w:cs="Times New Roman"/>
          <w:color w:val="222222"/>
          <w:spacing w:val="8"/>
          <w:sz w:val="28"/>
          <w:szCs w:val="28"/>
          <w:lang w:eastAsia="it-IT"/>
        </w:rPr>
        <w:t>specificato ancora in premessa</w:t>
      </w:r>
      <w:r w:rsidRPr="007D29A1">
        <w:rPr>
          <w:rFonts w:ascii="Times New Roman" w:eastAsia="Times New Roman" w:hAnsi="Times New Roman" w:cs="Times New Roman"/>
          <w:color w:val="222222"/>
          <w:spacing w:val="8"/>
          <w:sz w:val="28"/>
          <w:szCs w:val="28"/>
          <w:lang w:eastAsia="it-IT"/>
        </w:rPr>
        <w:t xml:space="preserve"> come le attività di </w:t>
      </w:r>
      <w:r w:rsidRPr="007D29A1">
        <w:rPr>
          <w:rFonts w:ascii="Times New Roman" w:eastAsia="Times New Roman" w:hAnsi="Times New Roman" w:cs="Times New Roman"/>
          <w:i/>
          <w:color w:val="222222"/>
          <w:spacing w:val="8"/>
          <w:sz w:val="28"/>
          <w:szCs w:val="28"/>
          <w:lang w:eastAsia="it-IT"/>
        </w:rPr>
        <w:t>gaming</w:t>
      </w:r>
      <w:r>
        <w:rPr>
          <w:rFonts w:ascii="Times New Roman" w:eastAsia="Times New Roman" w:hAnsi="Times New Roman" w:cs="Times New Roman"/>
          <w:color w:val="222222"/>
          <w:spacing w:val="8"/>
          <w:sz w:val="28"/>
          <w:szCs w:val="28"/>
          <w:lang w:eastAsia="it-IT"/>
        </w:rPr>
        <w:t xml:space="preserve"> analizzat</w:t>
      </w:r>
      <w:r w:rsidRPr="007D29A1">
        <w:rPr>
          <w:rFonts w:ascii="Times New Roman" w:eastAsia="Times New Roman" w:hAnsi="Times New Roman" w:cs="Times New Roman"/>
          <w:color w:val="222222"/>
          <w:spacing w:val="8"/>
          <w:sz w:val="28"/>
          <w:szCs w:val="28"/>
          <w:lang w:eastAsia="it-IT"/>
        </w:rPr>
        <w:t>e nel presente paragrafo sono s</w:t>
      </w:r>
      <w:r>
        <w:rPr>
          <w:rFonts w:ascii="Times New Roman" w:eastAsia="Times New Roman" w:hAnsi="Times New Roman" w:cs="Times New Roman"/>
          <w:color w:val="222222"/>
          <w:spacing w:val="8"/>
          <w:sz w:val="28"/>
          <w:szCs w:val="28"/>
          <w:lang w:eastAsia="it-IT"/>
        </w:rPr>
        <w:t>olo e soltanto quelle offerte ricomprese nel portafoglio statale</w:t>
      </w:r>
      <w:r w:rsidRPr="007D29A1">
        <w:rPr>
          <w:rFonts w:ascii="Times New Roman" w:eastAsia="Times New Roman" w:hAnsi="Times New Roman" w:cs="Times New Roman"/>
          <w:color w:val="222222"/>
          <w:spacing w:val="8"/>
          <w:sz w:val="28"/>
          <w:szCs w:val="28"/>
          <w:lang w:eastAsia="it-IT"/>
        </w:rPr>
        <w:t>,</w:t>
      </w:r>
      <w:r>
        <w:rPr>
          <w:rFonts w:ascii="Times New Roman" w:eastAsia="Times New Roman" w:hAnsi="Times New Roman" w:cs="Times New Roman"/>
          <w:color w:val="222222"/>
          <w:spacing w:val="8"/>
          <w:sz w:val="28"/>
          <w:szCs w:val="28"/>
          <w:lang w:eastAsia="it-IT"/>
        </w:rPr>
        <w:t xml:space="preserve"> cedute in gestione</w:t>
      </w:r>
      <w:r w:rsidRPr="007D29A1">
        <w:rPr>
          <w:rFonts w:ascii="Times New Roman" w:eastAsia="Times New Roman" w:hAnsi="Times New Roman" w:cs="Times New Roman"/>
          <w:color w:val="222222"/>
          <w:spacing w:val="8"/>
          <w:sz w:val="28"/>
          <w:szCs w:val="28"/>
          <w:lang w:eastAsia="it-IT"/>
        </w:rPr>
        <w:t xml:space="preserve"> </w:t>
      </w:r>
      <w:r>
        <w:rPr>
          <w:rFonts w:ascii="Times New Roman" w:eastAsia="Times New Roman" w:hAnsi="Times New Roman" w:cs="Times New Roman"/>
          <w:color w:val="222222"/>
          <w:spacing w:val="8"/>
          <w:sz w:val="28"/>
          <w:szCs w:val="28"/>
          <w:lang w:eastAsia="it-IT"/>
        </w:rPr>
        <w:t xml:space="preserve">a società private </w:t>
      </w:r>
      <w:r w:rsidRPr="007D29A1">
        <w:rPr>
          <w:rFonts w:ascii="Times New Roman" w:eastAsia="Times New Roman" w:hAnsi="Times New Roman" w:cs="Times New Roman"/>
          <w:color w:val="222222"/>
          <w:spacing w:val="8"/>
          <w:sz w:val="28"/>
          <w:szCs w:val="28"/>
          <w:lang w:eastAsia="it-IT"/>
        </w:rPr>
        <w:t>per il tramite di apposita concessione conferita dall’</w:t>
      </w:r>
      <w:r w:rsidRPr="0027491C">
        <w:rPr>
          <w:rFonts w:ascii="Times New Roman" w:eastAsia="Times New Roman" w:hAnsi="Times New Roman" w:cs="Times New Roman"/>
          <w:b/>
          <w:color w:val="222222"/>
          <w:spacing w:val="8"/>
          <w:sz w:val="28"/>
          <w:szCs w:val="28"/>
          <w:lang w:eastAsia="it-IT"/>
        </w:rPr>
        <w:t>Agenzia delle Dogane e dei Monopoli</w:t>
      </w:r>
      <w:r w:rsidRPr="007D29A1">
        <w:rPr>
          <w:rFonts w:ascii="Times New Roman" w:eastAsia="Times New Roman" w:hAnsi="Times New Roman" w:cs="Times New Roman"/>
          <w:color w:val="222222"/>
          <w:spacing w:val="8"/>
          <w:sz w:val="28"/>
          <w:szCs w:val="28"/>
          <w:lang w:eastAsia="it-IT"/>
        </w:rPr>
        <w:t xml:space="preserve">, mentre tutti i proventi derivanti da operazioni di gioco al di fuori dei canali legali, devono sempre di per sé considerarsi come illeciti.    </w:t>
      </w:r>
    </w:p>
    <w:p w:rsidR="00DB127A" w:rsidRDefault="00DB127A" w:rsidP="00DB127A">
      <w:pPr>
        <w:spacing w:after="0" w:line="276" w:lineRule="auto"/>
        <w:ind w:firstLine="709"/>
        <w:jc w:val="both"/>
        <w:rPr>
          <w:rFonts w:ascii="Times New Roman" w:eastAsia="Times New Roman" w:hAnsi="Times New Roman" w:cs="Times New Roman"/>
          <w:color w:val="222222"/>
          <w:spacing w:val="8"/>
          <w:sz w:val="28"/>
          <w:szCs w:val="28"/>
          <w:lang w:eastAsia="it-IT"/>
        </w:rPr>
      </w:pPr>
      <w:r w:rsidRPr="007D29A1">
        <w:rPr>
          <w:rFonts w:ascii="Times New Roman" w:eastAsia="Times New Roman" w:hAnsi="Times New Roman" w:cs="Times New Roman"/>
          <w:color w:val="222222"/>
          <w:spacing w:val="8"/>
          <w:sz w:val="28"/>
          <w:szCs w:val="28"/>
          <w:lang w:eastAsia="it-IT"/>
        </w:rPr>
        <w:tab/>
        <w:t>Ciò posto, occorre</w:t>
      </w:r>
      <w:r>
        <w:rPr>
          <w:rFonts w:ascii="Times New Roman" w:eastAsia="Times New Roman" w:hAnsi="Times New Roman" w:cs="Times New Roman"/>
          <w:color w:val="222222"/>
          <w:spacing w:val="8"/>
          <w:sz w:val="28"/>
          <w:szCs w:val="28"/>
          <w:lang w:eastAsia="it-IT"/>
        </w:rPr>
        <w:t xml:space="preserve"> ora</w:t>
      </w:r>
      <w:r w:rsidRPr="007D29A1">
        <w:rPr>
          <w:rFonts w:ascii="Times New Roman" w:eastAsia="Times New Roman" w:hAnsi="Times New Roman" w:cs="Times New Roman"/>
          <w:color w:val="222222"/>
          <w:spacing w:val="8"/>
          <w:sz w:val="28"/>
          <w:szCs w:val="28"/>
          <w:lang w:eastAsia="it-IT"/>
        </w:rPr>
        <w:t xml:space="preserve"> analizzare, in ottica antiriciclaggio, singolarmente i vari comparti legati al settore dei giochi e scommesse, prendendo abbrivio</w:t>
      </w:r>
      <w:r>
        <w:rPr>
          <w:rFonts w:ascii="Times New Roman" w:eastAsia="Times New Roman" w:hAnsi="Times New Roman" w:cs="Times New Roman"/>
          <w:color w:val="222222"/>
          <w:spacing w:val="8"/>
          <w:sz w:val="28"/>
          <w:szCs w:val="28"/>
          <w:lang w:eastAsia="it-IT"/>
        </w:rPr>
        <w:t xml:space="preserve"> dal </w:t>
      </w:r>
      <w:r w:rsidRPr="0027491C">
        <w:rPr>
          <w:rFonts w:ascii="Times New Roman" w:eastAsia="Times New Roman" w:hAnsi="Times New Roman" w:cs="Times New Roman"/>
          <w:b/>
          <w:i/>
          <w:color w:val="222222"/>
          <w:spacing w:val="8"/>
          <w:sz w:val="28"/>
          <w:szCs w:val="28"/>
          <w:lang w:eastAsia="it-IT"/>
        </w:rPr>
        <w:t>Retail Betting</w:t>
      </w:r>
      <w:r>
        <w:rPr>
          <w:rFonts w:ascii="Times New Roman" w:eastAsia="Times New Roman" w:hAnsi="Times New Roman" w:cs="Times New Roman"/>
          <w:color w:val="222222"/>
          <w:spacing w:val="8"/>
          <w:sz w:val="28"/>
          <w:szCs w:val="28"/>
          <w:lang w:eastAsia="it-IT"/>
        </w:rPr>
        <w:t>, e più precisamente</w:t>
      </w:r>
      <w:r w:rsidRPr="007D29A1">
        <w:rPr>
          <w:rFonts w:ascii="Times New Roman" w:eastAsia="Times New Roman" w:hAnsi="Times New Roman" w:cs="Times New Roman"/>
          <w:color w:val="222222"/>
          <w:spacing w:val="8"/>
          <w:sz w:val="28"/>
          <w:szCs w:val="28"/>
          <w:lang w:eastAsia="it-IT"/>
        </w:rPr>
        <w:t xml:space="preserve"> dalle attività delle ricevitorie, distributori ed esercenti dei concessionari di gioco</w:t>
      </w:r>
      <w:r w:rsidRPr="007D29A1">
        <w:rPr>
          <w:rStyle w:val="Rimandonotaapidipagina"/>
          <w:rFonts w:ascii="Times New Roman" w:eastAsia="Times New Roman" w:hAnsi="Times New Roman" w:cs="Times New Roman"/>
          <w:color w:val="222222"/>
          <w:spacing w:val="8"/>
          <w:sz w:val="28"/>
          <w:szCs w:val="28"/>
          <w:lang w:eastAsia="it-IT"/>
        </w:rPr>
        <w:footnoteReference w:id="3"/>
      </w:r>
      <w:r w:rsidRPr="007D29A1">
        <w:rPr>
          <w:rFonts w:ascii="Times New Roman" w:eastAsia="Times New Roman" w:hAnsi="Times New Roman" w:cs="Times New Roman"/>
          <w:color w:val="222222"/>
          <w:spacing w:val="8"/>
          <w:sz w:val="28"/>
          <w:szCs w:val="28"/>
          <w:lang w:eastAsia="it-IT"/>
        </w:rPr>
        <w:t>.</w:t>
      </w:r>
    </w:p>
    <w:p w:rsidR="00DB127A" w:rsidRPr="007D29A1" w:rsidRDefault="00DB127A" w:rsidP="00DB127A">
      <w:pPr>
        <w:spacing w:after="0" w:line="276" w:lineRule="auto"/>
        <w:ind w:firstLine="709"/>
        <w:jc w:val="both"/>
        <w:rPr>
          <w:rFonts w:ascii="Times New Roman" w:eastAsia="Times New Roman" w:hAnsi="Times New Roman" w:cs="Times New Roman"/>
          <w:color w:val="222222"/>
          <w:spacing w:val="8"/>
          <w:sz w:val="28"/>
          <w:szCs w:val="28"/>
          <w:lang w:eastAsia="it-IT"/>
        </w:rPr>
      </w:pPr>
    </w:p>
    <w:p w:rsidR="00DB127A" w:rsidRDefault="00DB127A" w:rsidP="00DB127A">
      <w:pPr>
        <w:spacing w:after="0" w:line="276" w:lineRule="auto"/>
        <w:ind w:firstLine="709"/>
        <w:jc w:val="both"/>
        <w:rPr>
          <w:rFonts w:ascii="Times New Roman" w:eastAsia="Times New Roman" w:hAnsi="Times New Roman" w:cs="Times New Roman"/>
          <w:color w:val="222222"/>
          <w:spacing w:val="8"/>
          <w:sz w:val="28"/>
          <w:szCs w:val="28"/>
          <w:lang w:eastAsia="it-IT"/>
        </w:rPr>
      </w:pPr>
      <w:r w:rsidRPr="007D29A1">
        <w:rPr>
          <w:rFonts w:ascii="Times New Roman" w:eastAsia="Times New Roman" w:hAnsi="Times New Roman" w:cs="Times New Roman"/>
          <w:color w:val="222222"/>
          <w:spacing w:val="8"/>
          <w:sz w:val="28"/>
          <w:szCs w:val="28"/>
          <w:lang w:eastAsia="it-IT"/>
        </w:rPr>
        <w:t xml:space="preserve">Per quanto concerne tali attività, </w:t>
      </w:r>
      <w:r>
        <w:rPr>
          <w:rFonts w:ascii="Times New Roman" w:eastAsia="Times New Roman" w:hAnsi="Times New Roman" w:cs="Times New Roman"/>
          <w:color w:val="222222"/>
          <w:spacing w:val="8"/>
          <w:sz w:val="28"/>
          <w:szCs w:val="28"/>
          <w:lang w:eastAsia="it-IT"/>
        </w:rPr>
        <w:t xml:space="preserve">il </w:t>
      </w:r>
      <w:r w:rsidRPr="0096019B">
        <w:rPr>
          <w:rFonts w:ascii="Times New Roman" w:eastAsia="Times New Roman" w:hAnsi="Times New Roman" w:cs="Times New Roman"/>
          <w:i/>
          <w:color w:val="222222"/>
          <w:spacing w:val="8"/>
          <w:sz w:val="28"/>
          <w:szCs w:val="28"/>
          <w:lang w:eastAsia="it-IT"/>
        </w:rPr>
        <w:t>focus</w:t>
      </w:r>
      <w:r>
        <w:rPr>
          <w:rFonts w:ascii="Times New Roman" w:eastAsia="Times New Roman" w:hAnsi="Times New Roman" w:cs="Times New Roman"/>
          <w:color w:val="222222"/>
          <w:spacing w:val="8"/>
          <w:sz w:val="28"/>
          <w:szCs w:val="28"/>
          <w:lang w:eastAsia="it-IT"/>
        </w:rPr>
        <w:t xml:space="preserve"> di analisi può alternativamente porsi sui “</w:t>
      </w:r>
      <w:r w:rsidRPr="0027491C">
        <w:rPr>
          <w:rFonts w:ascii="Times New Roman" w:eastAsia="Times New Roman" w:hAnsi="Times New Roman" w:cs="Times New Roman"/>
          <w:b/>
          <w:color w:val="222222"/>
          <w:spacing w:val="8"/>
          <w:sz w:val="28"/>
          <w:szCs w:val="28"/>
          <w:lang w:eastAsia="it-IT"/>
        </w:rPr>
        <w:t>professionisti</w:t>
      </w:r>
      <w:r>
        <w:rPr>
          <w:rFonts w:ascii="Times New Roman" w:eastAsia="Times New Roman" w:hAnsi="Times New Roman" w:cs="Times New Roman"/>
          <w:color w:val="222222"/>
          <w:spacing w:val="8"/>
          <w:sz w:val="28"/>
          <w:szCs w:val="28"/>
          <w:lang w:eastAsia="it-IT"/>
        </w:rPr>
        <w:t xml:space="preserve">” del settore o sui giocatori; quanto alla prima categoria (concessionari, distributori ed esercenti). </w:t>
      </w:r>
      <w:r w:rsidRPr="007D29A1">
        <w:rPr>
          <w:rFonts w:ascii="Times New Roman" w:eastAsia="Times New Roman" w:hAnsi="Times New Roman" w:cs="Times New Roman"/>
          <w:color w:val="222222"/>
          <w:spacing w:val="8"/>
          <w:sz w:val="28"/>
          <w:szCs w:val="28"/>
          <w:lang w:eastAsia="it-IT"/>
        </w:rPr>
        <w:t xml:space="preserve">È ovvio come, di base, andrà sempre verificata la sussistenza, nei confronti del distributore/esercente, dei requisiti reputazionali (no evidenze negative </w:t>
      </w:r>
      <w:r>
        <w:rPr>
          <w:rFonts w:ascii="Times New Roman" w:eastAsia="Times New Roman" w:hAnsi="Times New Roman" w:cs="Times New Roman"/>
          <w:color w:val="222222"/>
          <w:spacing w:val="8"/>
          <w:sz w:val="28"/>
          <w:szCs w:val="28"/>
          <w:lang w:eastAsia="it-IT"/>
        </w:rPr>
        <w:t>di qualsivoglia fatta) e legali</w:t>
      </w:r>
      <w:r w:rsidRPr="007D29A1">
        <w:rPr>
          <w:rFonts w:ascii="Times New Roman" w:eastAsia="Times New Roman" w:hAnsi="Times New Roman" w:cs="Times New Roman"/>
          <w:color w:val="222222"/>
          <w:spacing w:val="8"/>
          <w:sz w:val="28"/>
          <w:szCs w:val="28"/>
          <w:lang w:eastAsia="it-IT"/>
        </w:rPr>
        <w:t xml:space="preserve"> - e nella specie </w:t>
      </w:r>
      <w:r w:rsidRPr="007D29A1">
        <w:rPr>
          <w:rFonts w:ascii="Times New Roman" w:eastAsia="Times New Roman" w:hAnsi="Times New Roman" w:cs="Times New Roman"/>
          <w:b/>
          <w:color w:val="222222"/>
          <w:spacing w:val="8"/>
          <w:sz w:val="28"/>
          <w:szCs w:val="28"/>
          <w:lang w:eastAsia="it-IT"/>
        </w:rPr>
        <w:t xml:space="preserve">autorizzazione di pubblica sicurezza </w:t>
      </w:r>
      <w:r w:rsidRPr="007D29A1">
        <w:rPr>
          <w:rFonts w:ascii="Times New Roman" w:eastAsia="Times New Roman" w:hAnsi="Times New Roman" w:cs="Times New Roman"/>
          <w:color w:val="222222"/>
          <w:spacing w:val="8"/>
          <w:sz w:val="28"/>
          <w:szCs w:val="28"/>
          <w:lang w:eastAsia="it-IT"/>
        </w:rPr>
        <w:t xml:space="preserve">e </w:t>
      </w:r>
      <w:r w:rsidRPr="007D29A1">
        <w:rPr>
          <w:rFonts w:ascii="Times New Roman" w:eastAsia="Times New Roman" w:hAnsi="Times New Roman" w:cs="Times New Roman"/>
          <w:b/>
          <w:color w:val="222222"/>
          <w:spacing w:val="8"/>
          <w:sz w:val="28"/>
          <w:szCs w:val="28"/>
          <w:lang w:eastAsia="it-IT"/>
        </w:rPr>
        <w:t xml:space="preserve">titolo concessorio - </w:t>
      </w:r>
      <w:r w:rsidRPr="007D29A1">
        <w:rPr>
          <w:rFonts w:ascii="Times New Roman" w:eastAsia="Times New Roman" w:hAnsi="Times New Roman" w:cs="Times New Roman"/>
          <w:color w:val="222222"/>
          <w:spacing w:val="8"/>
          <w:sz w:val="28"/>
          <w:szCs w:val="28"/>
          <w:lang w:eastAsia="it-IT"/>
        </w:rPr>
        <w:t>per poter operare.</w:t>
      </w:r>
    </w:p>
    <w:p w:rsidR="00DB127A" w:rsidRPr="007D29A1" w:rsidRDefault="00DB127A" w:rsidP="00DB127A">
      <w:pPr>
        <w:spacing w:after="0" w:line="276" w:lineRule="auto"/>
        <w:ind w:firstLine="709"/>
        <w:jc w:val="both"/>
        <w:rPr>
          <w:rFonts w:ascii="Times New Roman" w:eastAsia="Times New Roman" w:hAnsi="Times New Roman" w:cs="Times New Roman"/>
          <w:color w:val="222222"/>
          <w:spacing w:val="8"/>
          <w:sz w:val="28"/>
          <w:szCs w:val="28"/>
          <w:lang w:eastAsia="it-IT"/>
        </w:rPr>
      </w:pPr>
      <w:r>
        <w:rPr>
          <w:rFonts w:ascii="Times New Roman" w:eastAsia="Times New Roman" w:hAnsi="Times New Roman" w:cs="Times New Roman"/>
          <w:color w:val="222222"/>
          <w:spacing w:val="8"/>
          <w:sz w:val="28"/>
          <w:szCs w:val="28"/>
          <w:lang w:eastAsia="it-IT"/>
        </w:rPr>
        <w:lastRenderedPageBreak/>
        <w:t xml:space="preserve">E’ poi evidente come, dal punto di vista operativo, gli strumenti di pagamento (e quindi gli incassi) siano connotati soprattutto dal denaro contante, di talché </w:t>
      </w:r>
      <w:r w:rsidRPr="007D29A1">
        <w:rPr>
          <w:rFonts w:ascii="Times New Roman" w:eastAsia="Times New Roman" w:hAnsi="Times New Roman" w:cs="Times New Roman"/>
          <w:color w:val="222222"/>
          <w:spacing w:val="8"/>
          <w:sz w:val="28"/>
          <w:szCs w:val="28"/>
          <w:lang w:eastAsia="it-IT"/>
        </w:rPr>
        <w:t>possono anzitutto riproporsi le considerazioni già espl</w:t>
      </w:r>
      <w:r>
        <w:rPr>
          <w:rFonts w:ascii="Times New Roman" w:eastAsia="Times New Roman" w:hAnsi="Times New Roman" w:cs="Times New Roman"/>
          <w:color w:val="222222"/>
          <w:spacing w:val="8"/>
          <w:sz w:val="28"/>
          <w:szCs w:val="28"/>
          <w:lang w:eastAsia="it-IT"/>
        </w:rPr>
        <w:t>icitate rispetto al paragrafo relativo alle operazioni</w:t>
      </w:r>
      <w:r w:rsidRPr="007D29A1">
        <w:rPr>
          <w:rFonts w:ascii="Times New Roman" w:eastAsia="Times New Roman" w:hAnsi="Times New Roman" w:cs="Times New Roman"/>
          <w:color w:val="222222"/>
          <w:spacing w:val="8"/>
          <w:sz w:val="28"/>
          <w:szCs w:val="28"/>
          <w:lang w:eastAsia="it-IT"/>
        </w:rPr>
        <w:t xml:space="preserve"> in contanti</w:t>
      </w:r>
      <w:r>
        <w:rPr>
          <w:rFonts w:ascii="Times New Roman" w:eastAsia="Times New Roman" w:hAnsi="Times New Roman" w:cs="Times New Roman"/>
          <w:color w:val="222222"/>
          <w:spacing w:val="8"/>
          <w:sz w:val="28"/>
          <w:szCs w:val="28"/>
          <w:lang w:eastAsia="it-IT"/>
        </w:rPr>
        <w:t>:</w:t>
      </w:r>
      <w:r w:rsidRPr="007D29A1">
        <w:rPr>
          <w:rFonts w:ascii="Times New Roman" w:eastAsia="Times New Roman" w:hAnsi="Times New Roman" w:cs="Times New Roman"/>
          <w:color w:val="222222"/>
          <w:spacing w:val="8"/>
          <w:sz w:val="28"/>
          <w:szCs w:val="28"/>
          <w:lang w:eastAsia="it-IT"/>
        </w:rPr>
        <w:t xml:space="preserve"> </w:t>
      </w:r>
      <w:r>
        <w:rPr>
          <w:rFonts w:ascii="Times New Roman" w:eastAsia="Times New Roman" w:hAnsi="Times New Roman" w:cs="Times New Roman"/>
          <w:color w:val="222222"/>
          <w:spacing w:val="8"/>
          <w:sz w:val="28"/>
          <w:szCs w:val="28"/>
          <w:lang w:eastAsia="it-IT"/>
        </w:rPr>
        <w:t xml:space="preserve">anche per la </w:t>
      </w:r>
      <w:r w:rsidRPr="007D29A1">
        <w:rPr>
          <w:rFonts w:ascii="Times New Roman" w:eastAsia="Times New Roman" w:hAnsi="Times New Roman" w:cs="Times New Roman"/>
          <w:color w:val="222222"/>
          <w:spacing w:val="8"/>
          <w:sz w:val="28"/>
          <w:szCs w:val="28"/>
          <w:lang w:eastAsia="it-IT"/>
        </w:rPr>
        <w:t xml:space="preserve"> </w:t>
      </w:r>
      <w:r w:rsidRPr="007D29A1">
        <w:rPr>
          <w:rFonts w:ascii="Times New Roman" w:eastAsia="Times New Roman" w:hAnsi="Times New Roman" w:cs="Times New Roman"/>
          <w:b/>
          <w:color w:val="222222"/>
          <w:spacing w:val="8"/>
          <w:sz w:val="28"/>
          <w:szCs w:val="28"/>
          <w:lang w:eastAsia="it-IT"/>
        </w:rPr>
        <w:t>ricevitoria</w:t>
      </w:r>
      <w:r>
        <w:rPr>
          <w:rFonts w:ascii="Times New Roman" w:eastAsia="Times New Roman" w:hAnsi="Times New Roman" w:cs="Times New Roman"/>
          <w:b/>
          <w:color w:val="222222"/>
          <w:spacing w:val="8"/>
          <w:sz w:val="28"/>
          <w:szCs w:val="28"/>
          <w:lang w:eastAsia="it-IT"/>
        </w:rPr>
        <w:t xml:space="preserve"> </w:t>
      </w:r>
      <w:r w:rsidRPr="00F5452C">
        <w:rPr>
          <w:rFonts w:ascii="Times New Roman" w:eastAsia="Times New Roman" w:hAnsi="Times New Roman" w:cs="Times New Roman"/>
          <w:color w:val="222222"/>
          <w:spacing w:val="8"/>
          <w:sz w:val="28"/>
          <w:szCs w:val="28"/>
          <w:lang w:eastAsia="it-IT"/>
        </w:rPr>
        <w:t>(al pari della tabaccheria)</w:t>
      </w:r>
      <w:r w:rsidRPr="007D29A1">
        <w:rPr>
          <w:rFonts w:ascii="Times New Roman" w:eastAsia="Times New Roman" w:hAnsi="Times New Roman" w:cs="Times New Roman"/>
          <w:color w:val="222222"/>
          <w:spacing w:val="8"/>
          <w:sz w:val="28"/>
          <w:szCs w:val="28"/>
          <w:lang w:eastAsia="it-IT"/>
        </w:rPr>
        <w:t xml:space="preserve">, </w:t>
      </w:r>
      <w:r>
        <w:rPr>
          <w:rFonts w:ascii="Times New Roman" w:eastAsia="Times New Roman" w:hAnsi="Times New Roman" w:cs="Times New Roman"/>
          <w:color w:val="222222"/>
          <w:spacing w:val="8"/>
          <w:sz w:val="28"/>
          <w:szCs w:val="28"/>
          <w:lang w:eastAsia="it-IT"/>
        </w:rPr>
        <w:t>potrà applicarsi</w:t>
      </w:r>
      <w:r w:rsidRPr="007D29A1">
        <w:rPr>
          <w:rFonts w:ascii="Times New Roman" w:eastAsia="Times New Roman" w:hAnsi="Times New Roman" w:cs="Times New Roman"/>
          <w:color w:val="222222"/>
          <w:spacing w:val="8"/>
          <w:sz w:val="28"/>
          <w:szCs w:val="28"/>
          <w:lang w:eastAsia="it-IT"/>
        </w:rPr>
        <w:t xml:space="preserve"> lo stesso criterio </w:t>
      </w:r>
      <w:r>
        <w:rPr>
          <w:rFonts w:ascii="Times New Roman" w:eastAsia="Times New Roman" w:hAnsi="Times New Roman" w:cs="Times New Roman"/>
          <w:color w:val="222222"/>
          <w:spacing w:val="8"/>
          <w:sz w:val="28"/>
          <w:szCs w:val="28"/>
          <w:lang w:eastAsia="it-IT"/>
        </w:rPr>
        <w:t xml:space="preserve">esposto – sulla congruenza tra incassi/dati contabili - </w:t>
      </w:r>
      <w:r w:rsidRPr="007D29A1">
        <w:rPr>
          <w:rFonts w:ascii="Times New Roman" w:eastAsia="Times New Roman" w:hAnsi="Times New Roman" w:cs="Times New Roman"/>
          <w:color w:val="222222"/>
          <w:spacing w:val="8"/>
          <w:sz w:val="28"/>
          <w:szCs w:val="28"/>
          <w:lang w:eastAsia="it-IT"/>
        </w:rPr>
        <w:t xml:space="preserve">rispetto ai prodotti del </w:t>
      </w:r>
      <w:r w:rsidRPr="007D29A1">
        <w:rPr>
          <w:rFonts w:ascii="Times New Roman" w:eastAsia="Times New Roman" w:hAnsi="Times New Roman" w:cs="Times New Roman"/>
          <w:i/>
          <w:color w:val="222222"/>
          <w:spacing w:val="8"/>
          <w:sz w:val="28"/>
          <w:szCs w:val="28"/>
          <w:lang w:eastAsia="it-IT"/>
        </w:rPr>
        <w:t>gaming</w:t>
      </w:r>
      <w:r>
        <w:rPr>
          <w:rFonts w:ascii="Times New Roman" w:eastAsia="Times New Roman" w:hAnsi="Times New Roman" w:cs="Times New Roman"/>
          <w:color w:val="222222"/>
          <w:spacing w:val="8"/>
          <w:sz w:val="28"/>
          <w:szCs w:val="28"/>
          <w:lang w:eastAsia="it-IT"/>
        </w:rPr>
        <w:t xml:space="preserve"> (gratta e vinci, lotto ecc.);</w:t>
      </w:r>
      <w:r w:rsidRPr="007D29A1">
        <w:rPr>
          <w:rFonts w:ascii="Times New Roman" w:eastAsia="Times New Roman" w:hAnsi="Times New Roman" w:cs="Times New Roman"/>
          <w:color w:val="222222"/>
          <w:spacing w:val="8"/>
          <w:sz w:val="28"/>
          <w:szCs w:val="28"/>
          <w:lang w:eastAsia="it-IT"/>
        </w:rPr>
        <w:t xml:space="preserve"> a livello</w:t>
      </w:r>
      <w:r w:rsidRPr="007D29A1">
        <w:rPr>
          <w:rFonts w:ascii="Times New Roman" w:eastAsia="Times New Roman" w:hAnsi="Times New Roman" w:cs="Times New Roman"/>
          <w:b/>
          <w:color w:val="222222"/>
          <w:spacing w:val="8"/>
          <w:sz w:val="28"/>
          <w:szCs w:val="28"/>
          <w:lang w:eastAsia="it-IT"/>
        </w:rPr>
        <w:t xml:space="preserve"> contabile</w:t>
      </w:r>
      <w:r w:rsidRPr="007D29A1">
        <w:rPr>
          <w:rFonts w:ascii="Times New Roman" w:eastAsia="Times New Roman" w:hAnsi="Times New Roman" w:cs="Times New Roman"/>
          <w:color w:val="222222"/>
          <w:spacing w:val="8"/>
          <w:sz w:val="28"/>
          <w:szCs w:val="28"/>
          <w:lang w:eastAsia="it-IT"/>
        </w:rPr>
        <w:t xml:space="preserve">, è </w:t>
      </w:r>
      <w:r>
        <w:rPr>
          <w:rFonts w:ascii="Times New Roman" w:eastAsia="Times New Roman" w:hAnsi="Times New Roman" w:cs="Times New Roman"/>
          <w:color w:val="222222"/>
          <w:spacing w:val="8"/>
          <w:sz w:val="28"/>
          <w:szCs w:val="28"/>
          <w:lang w:eastAsia="it-IT"/>
        </w:rPr>
        <w:t xml:space="preserve">difatti </w:t>
      </w:r>
      <w:r w:rsidRPr="007D29A1">
        <w:rPr>
          <w:rFonts w:ascii="Times New Roman" w:eastAsia="Times New Roman" w:hAnsi="Times New Roman" w:cs="Times New Roman"/>
          <w:color w:val="222222"/>
          <w:spacing w:val="8"/>
          <w:sz w:val="28"/>
          <w:szCs w:val="28"/>
          <w:lang w:eastAsia="it-IT"/>
        </w:rPr>
        <w:t xml:space="preserve">intuibile che non tutte le somme versate rappresentino i </w:t>
      </w:r>
      <w:r w:rsidRPr="007D29A1">
        <w:rPr>
          <w:rFonts w:ascii="Times New Roman" w:eastAsia="Times New Roman" w:hAnsi="Times New Roman" w:cs="Times New Roman"/>
          <w:b/>
          <w:color w:val="222222"/>
          <w:spacing w:val="8"/>
          <w:sz w:val="28"/>
          <w:szCs w:val="28"/>
          <w:lang w:eastAsia="it-IT"/>
        </w:rPr>
        <w:t>ricavi</w:t>
      </w:r>
      <w:r w:rsidRPr="007D29A1">
        <w:rPr>
          <w:rFonts w:ascii="Times New Roman" w:eastAsia="Times New Roman" w:hAnsi="Times New Roman" w:cs="Times New Roman"/>
          <w:color w:val="222222"/>
          <w:spacing w:val="8"/>
          <w:sz w:val="28"/>
          <w:szCs w:val="28"/>
          <w:lang w:eastAsia="it-IT"/>
        </w:rPr>
        <w:t xml:space="preserve"> della ricevitoria, </w:t>
      </w:r>
      <w:r>
        <w:rPr>
          <w:rFonts w:ascii="Times New Roman" w:eastAsia="Times New Roman" w:hAnsi="Times New Roman" w:cs="Times New Roman"/>
          <w:color w:val="222222"/>
          <w:spacing w:val="8"/>
          <w:sz w:val="28"/>
          <w:szCs w:val="28"/>
          <w:lang w:eastAsia="it-IT"/>
        </w:rPr>
        <w:t>la quale</w:t>
      </w:r>
      <w:r w:rsidRPr="007D29A1">
        <w:rPr>
          <w:rFonts w:ascii="Times New Roman" w:eastAsia="Times New Roman" w:hAnsi="Times New Roman" w:cs="Times New Roman"/>
          <w:color w:val="222222"/>
          <w:spacing w:val="8"/>
          <w:sz w:val="28"/>
          <w:szCs w:val="28"/>
          <w:lang w:eastAsia="it-IT"/>
        </w:rPr>
        <w:t xml:space="preserve"> offre i prodotti e servizi di gioco in concessione, ottenendo in cambio dell'intermediazione una </w:t>
      </w:r>
      <w:r w:rsidRPr="007D29A1">
        <w:rPr>
          <w:rFonts w:ascii="Times New Roman" w:eastAsia="Times New Roman" w:hAnsi="Times New Roman" w:cs="Times New Roman"/>
          <w:b/>
          <w:color w:val="222222"/>
          <w:spacing w:val="8"/>
          <w:sz w:val="28"/>
          <w:szCs w:val="28"/>
          <w:lang w:eastAsia="it-IT"/>
        </w:rPr>
        <w:t>commissione o agio</w:t>
      </w:r>
      <w:r w:rsidRPr="007D29A1">
        <w:rPr>
          <w:rFonts w:ascii="Times New Roman" w:eastAsia="Times New Roman" w:hAnsi="Times New Roman" w:cs="Times New Roman"/>
          <w:color w:val="222222"/>
          <w:spacing w:val="8"/>
          <w:sz w:val="28"/>
          <w:szCs w:val="28"/>
          <w:lang w:eastAsia="it-IT"/>
        </w:rPr>
        <w:t xml:space="preserve">, rappresentata da una percentuale </w:t>
      </w:r>
      <w:r>
        <w:rPr>
          <w:rFonts w:ascii="Times New Roman" w:eastAsia="Times New Roman" w:hAnsi="Times New Roman" w:cs="Times New Roman"/>
          <w:color w:val="222222"/>
          <w:spacing w:val="8"/>
          <w:sz w:val="28"/>
          <w:szCs w:val="28"/>
          <w:lang w:eastAsia="it-IT"/>
        </w:rPr>
        <w:t>del prezzo di vendita del bene (s</w:t>
      </w:r>
      <w:r w:rsidRPr="007D29A1">
        <w:rPr>
          <w:rFonts w:ascii="Times New Roman" w:eastAsia="Times New Roman" w:hAnsi="Times New Roman" w:cs="Times New Roman"/>
          <w:color w:val="222222"/>
          <w:spacing w:val="8"/>
          <w:sz w:val="28"/>
          <w:szCs w:val="28"/>
          <w:lang w:eastAsia="it-IT"/>
        </w:rPr>
        <w:t>i riscontreranno quindi sul rapporto delle ricevitorie bonifici in uscita a favore di Lottomatica e/o di altri concessionari di giochi, con la trattenuta dell’aggio</w:t>
      </w:r>
      <w:r>
        <w:rPr>
          <w:rFonts w:ascii="Times New Roman" w:eastAsia="Times New Roman" w:hAnsi="Times New Roman" w:cs="Times New Roman"/>
          <w:color w:val="222222"/>
          <w:spacing w:val="8"/>
          <w:sz w:val="28"/>
          <w:szCs w:val="28"/>
          <w:lang w:eastAsia="it-IT"/>
        </w:rPr>
        <w:t>)</w:t>
      </w:r>
      <w:r w:rsidRPr="007D29A1">
        <w:rPr>
          <w:rFonts w:ascii="Times New Roman" w:eastAsia="Times New Roman" w:hAnsi="Times New Roman" w:cs="Times New Roman"/>
          <w:color w:val="222222"/>
          <w:spacing w:val="8"/>
          <w:sz w:val="28"/>
          <w:szCs w:val="28"/>
          <w:lang w:eastAsia="it-IT"/>
        </w:rPr>
        <w:t xml:space="preserve">. </w:t>
      </w:r>
      <w:r>
        <w:rPr>
          <w:rFonts w:ascii="Times New Roman" w:eastAsia="Times New Roman" w:hAnsi="Times New Roman" w:cs="Times New Roman"/>
          <w:color w:val="222222"/>
          <w:spacing w:val="8"/>
          <w:sz w:val="28"/>
          <w:szCs w:val="28"/>
          <w:lang w:eastAsia="it-IT"/>
        </w:rPr>
        <w:t>P</w:t>
      </w:r>
      <w:r w:rsidRPr="007D29A1">
        <w:rPr>
          <w:rFonts w:ascii="Times New Roman" w:eastAsia="Times New Roman" w:hAnsi="Times New Roman" w:cs="Times New Roman"/>
          <w:color w:val="222222"/>
          <w:spacing w:val="8"/>
          <w:sz w:val="28"/>
          <w:szCs w:val="28"/>
          <w:lang w:eastAsia="it-IT"/>
        </w:rPr>
        <w:t xml:space="preserve">er poter effettuare una </w:t>
      </w:r>
      <w:r>
        <w:rPr>
          <w:rFonts w:ascii="Times New Roman" w:eastAsia="Times New Roman" w:hAnsi="Times New Roman" w:cs="Times New Roman"/>
          <w:color w:val="222222"/>
          <w:spacing w:val="8"/>
          <w:sz w:val="28"/>
          <w:szCs w:val="28"/>
          <w:lang w:eastAsia="it-IT"/>
        </w:rPr>
        <w:t xml:space="preserve">compiuta </w:t>
      </w:r>
      <w:r w:rsidRPr="007D29A1">
        <w:rPr>
          <w:rFonts w:ascii="Times New Roman" w:eastAsia="Times New Roman" w:hAnsi="Times New Roman" w:cs="Times New Roman"/>
          <w:color w:val="222222"/>
          <w:spacing w:val="8"/>
          <w:sz w:val="28"/>
          <w:szCs w:val="28"/>
          <w:lang w:eastAsia="it-IT"/>
        </w:rPr>
        <w:t xml:space="preserve">valutazione contabile, </w:t>
      </w:r>
      <w:r>
        <w:rPr>
          <w:rFonts w:ascii="Times New Roman" w:eastAsia="Times New Roman" w:hAnsi="Times New Roman" w:cs="Times New Roman"/>
          <w:color w:val="222222"/>
          <w:spacing w:val="8"/>
          <w:sz w:val="28"/>
          <w:szCs w:val="28"/>
          <w:lang w:eastAsia="it-IT"/>
        </w:rPr>
        <w:t xml:space="preserve">è quindi necessario in concreto </w:t>
      </w:r>
      <w:r w:rsidRPr="007D29A1">
        <w:rPr>
          <w:rFonts w:ascii="Times New Roman" w:eastAsia="Times New Roman" w:hAnsi="Times New Roman" w:cs="Times New Roman"/>
          <w:color w:val="222222"/>
          <w:spacing w:val="8"/>
          <w:sz w:val="28"/>
          <w:szCs w:val="28"/>
          <w:lang w:eastAsia="it-IT"/>
        </w:rPr>
        <w:t>conoscere la percentuale di aggi applicata su ogni servizio o prodotto offerto</w:t>
      </w:r>
      <w:r>
        <w:rPr>
          <w:rFonts w:ascii="Times New Roman" w:eastAsia="Times New Roman" w:hAnsi="Times New Roman" w:cs="Times New Roman"/>
          <w:color w:val="222222"/>
          <w:spacing w:val="8"/>
          <w:sz w:val="28"/>
          <w:szCs w:val="28"/>
          <w:lang w:eastAsia="it-IT"/>
        </w:rPr>
        <w:t xml:space="preserve"> dal cliente</w:t>
      </w:r>
      <w:r w:rsidRPr="007D29A1">
        <w:rPr>
          <w:rFonts w:ascii="Times New Roman" w:eastAsia="Times New Roman" w:hAnsi="Times New Roman" w:cs="Times New Roman"/>
          <w:color w:val="222222"/>
          <w:spacing w:val="8"/>
          <w:sz w:val="28"/>
          <w:szCs w:val="28"/>
          <w:lang w:eastAsia="it-IT"/>
        </w:rPr>
        <w:t>.</w:t>
      </w:r>
    </w:p>
    <w:p w:rsidR="00DB127A" w:rsidRPr="007D29A1" w:rsidRDefault="00DB127A" w:rsidP="00DB127A">
      <w:pPr>
        <w:spacing w:after="0" w:line="276" w:lineRule="auto"/>
        <w:ind w:firstLine="709"/>
        <w:jc w:val="both"/>
        <w:rPr>
          <w:rFonts w:ascii="Times New Roman" w:eastAsia="Times New Roman" w:hAnsi="Times New Roman" w:cs="Times New Roman"/>
          <w:color w:val="222222"/>
          <w:spacing w:val="8"/>
          <w:sz w:val="28"/>
          <w:szCs w:val="28"/>
          <w:lang w:eastAsia="it-IT"/>
        </w:rPr>
      </w:pPr>
      <w:r w:rsidRPr="007D29A1">
        <w:rPr>
          <w:rFonts w:ascii="Times New Roman" w:eastAsia="Times New Roman" w:hAnsi="Times New Roman" w:cs="Times New Roman"/>
          <w:color w:val="222222"/>
          <w:spacing w:val="8"/>
          <w:sz w:val="28"/>
          <w:szCs w:val="28"/>
          <w:lang w:eastAsia="it-IT"/>
        </w:rPr>
        <w:t xml:space="preserve">Parallelamente, presso la ricevitoria o l’esercente possono essere presenti apparecchi </w:t>
      </w:r>
      <w:r w:rsidRPr="0027491C">
        <w:rPr>
          <w:rFonts w:ascii="Times New Roman" w:eastAsia="Times New Roman" w:hAnsi="Times New Roman" w:cs="Times New Roman"/>
          <w:b/>
          <w:i/>
          <w:color w:val="222222"/>
          <w:spacing w:val="8"/>
          <w:sz w:val="28"/>
          <w:szCs w:val="28"/>
          <w:lang w:eastAsia="it-IT"/>
        </w:rPr>
        <w:t>VLT</w:t>
      </w:r>
      <w:r w:rsidRPr="007D29A1">
        <w:rPr>
          <w:rFonts w:ascii="Times New Roman" w:eastAsia="Times New Roman" w:hAnsi="Times New Roman" w:cs="Times New Roman"/>
          <w:i/>
          <w:color w:val="222222"/>
          <w:spacing w:val="8"/>
          <w:sz w:val="28"/>
          <w:szCs w:val="28"/>
          <w:lang w:eastAsia="it-IT"/>
        </w:rPr>
        <w:t>:</w:t>
      </w:r>
      <w:r w:rsidRPr="007D29A1">
        <w:rPr>
          <w:rFonts w:ascii="Times New Roman" w:eastAsia="Times New Roman" w:hAnsi="Times New Roman" w:cs="Times New Roman"/>
          <w:color w:val="222222"/>
          <w:spacing w:val="8"/>
          <w:sz w:val="28"/>
          <w:szCs w:val="28"/>
          <w:lang w:eastAsia="it-IT"/>
        </w:rPr>
        <w:t xml:space="preserve"> anche in tal caso, non tutte le en</w:t>
      </w:r>
      <w:r>
        <w:rPr>
          <w:rFonts w:ascii="Times New Roman" w:eastAsia="Times New Roman" w:hAnsi="Times New Roman" w:cs="Times New Roman"/>
          <w:color w:val="222222"/>
          <w:spacing w:val="8"/>
          <w:sz w:val="28"/>
          <w:szCs w:val="28"/>
          <w:lang w:eastAsia="it-IT"/>
        </w:rPr>
        <w:t>trate di quella attività potranno</w:t>
      </w:r>
      <w:r w:rsidRPr="007D29A1">
        <w:rPr>
          <w:rFonts w:ascii="Times New Roman" w:eastAsia="Times New Roman" w:hAnsi="Times New Roman" w:cs="Times New Roman"/>
          <w:color w:val="222222"/>
          <w:spacing w:val="8"/>
          <w:sz w:val="28"/>
          <w:szCs w:val="28"/>
          <w:lang w:eastAsia="it-IT"/>
        </w:rPr>
        <w:t xml:space="preserve"> considerarsi ricavi, giacché il cliente potrebbe essere proprietario delle macchinette, o, in base alle specifiche convenzioni con il proprietario delle macchinette, avere diritto solo ad una percentuale dei ricavi o ad un compenso per la messa a disposizione del locale.</w:t>
      </w:r>
    </w:p>
    <w:p w:rsidR="00DB127A" w:rsidRDefault="00DB127A" w:rsidP="00DB127A">
      <w:pPr>
        <w:spacing w:after="0" w:line="276" w:lineRule="auto"/>
        <w:ind w:firstLine="709"/>
        <w:jc w:val="both"/>
        <w:rPr>
          <w:rFonts w:ascii="Times New Roman" w:eastAsia="Times New Roman" w:hAnsi="Times New Roman" w:cs="Times New Roman"/>
          <w:color w:val="222222"/>
          <w:spacing w:val="8"/>
          <w:sz w:val="28"/>
          <w:szCs w:val="28"/>
          <w:lang w:eastAsia="it-IT"/>
        </w:rPr>
      </w:pPr>
      <w:r w:rsidRPr="007D29A1">
        <w:rPr>
          <w:rFonts w:ascii="Times New Roman" w:eastAsia="Times New Roman" w:hAnsi="Times New Roman" w:cs="Times New Roman"/>
          <w:color w:val="222222"/>
          <w:spacing w:val="8"/>
          <w:sz w:val="28"/>
          <w:szCs w:val="28"/>
          <w:lang w:eastAsia="it-IT"/>
        </w:rPr>
        <w:t xml:space="preserve">In aggiunta, sul rapporto dell’esercente si registreranno nella prassi anche bonifici in addebito con causale </w:t>
      </w:r>
      <w:r w:rsidRPr="007D29A1">
        <w:rPr>
          <w:rFonts w:ascii="Times New Roman" w:eastAsia="Times New Roman" w:hAnsi="Times New Roman" w:cs="Times New Roman"/>
          <w:b/>
          <w:color w:val="222222"/>
          <w:spacing w:val="8"/>
          <w:sz w:val="28"/>
          <w:szCs w:val="28"/>
          <w:lang w:eastAsia="it-IT"/>
        </w:rPr>
        <w:t>“</w:t>
      </w:r>
      <w:r w:rsidRPr="007D29A1">
        <w:rPr>
          <w:rFonts w:ascii="Times New Roman" w:eastAsia="Times New Roman" w:hAnsi="Times New Roman" w:cs="Times New Roman"/>
          <w:b/>
          <w:i/>
          <w:color w:val="222222"/>
          <w:spacing w:val="8"/>
          <w:sz w:val="28"/>
          <w:szCs w:val="28"/>
          <w:lang w:eastAsia="it-IT"/>
        </w:rPr>
        <w:t>vincita</w:t>
      </w:r>
      <w:r w:rsidRPr="007D29A1">
        <w:rPr>
          <w:rFonts w:ascii="Times New Roman" w:eastAsia="Times New Roman" w:hAnsi="Times New Roman" w:cs="Times New Roman"/>
          <w:b/>
          <w:color w:val="222222"/>
          <w:spacing w:val="8"/>
          <w:sz w:val="28"/>
          <w:szCs w:val="28"/>
          <w:lang w:eastAsia="it-IT"/>
        </w:rPr>
        <w:t>”</w:t>
      </w:r>
      <w:r w:rsidRPr="007D29A1">
        <w:rPr>
          <w:rFonts w:ascii="Times New Roman" w:eastAsia="Times New Roman" w:hAnsi="Times New Roman" w:cs="Times New Roman"/>
          <w:color w:val="222222"/>
          <w:spacing w:val="8"/>
          <w:sz w:val="28"/>
          <w:szCs w:val="28"/>
          <w:lang w:eastAsia="it-IT"/>
        </w:rPr>
        <w:t xml:space="preserve">, disposti a favore di persone fisiche a titolo di pagamento vincite ai vari giochi </w:t>
      </w:r>
      <w:r w:rsidRPr="00F5452C">
        <w:rPr>
          <w:rFonts w:ascii="Times New Roman" w:eastAsia="Times New Roman" w:hAnsi="Times New Roman" w:cs="Times New Roman"/>
          <w:color w:val="222222"/>
          <w:spacing w:val="8"/>
          <w:sz w:val="28"/>
          <w:szCs w:val="28"/>
          <w:lang w:eastAsia="it-IT"/>
        </w:rPr>
        <w:t xml:space="preserve">(es </w:t>
      </w:r>
      <w:r w:rsidRPr="00E2034A">
        <w:rPr>
          <w:rFonts w:ascii="Times New Roman" w:eastAsia="Times New Roman" w:hAnsi="Times New Roman" w:cs="Times New Roman"/>
          <w:color w:val="222222"/>
          <w:spacing w:val="8"/>
          <w:sz w:val="28"/>
          <w:szCs w:val="28"/>
          <w:lang w:eastAsia="it-IT"/>
        </w:rPr>
        <w:t>Gratta e Vinci ecc.), nei casi in cui la vincita superi la soglia per cui è previsto il pagamento in contanti (</w:t>
      </w:r>
      <w:r>
        <w:rPr>
          <w:rFonts w:ascii="Times New Roman" w:eastAsia="Times New Roman" w:hAnsi="Times New Roman" w:cs="Times New Roman"/>
          <w:color w:val="222222"/>
          <w:spacing w:val="8"/>
          <w:sz w:val="28"/>
          <w:szCs w:val="28"/>
          <w:lang w:eastAsia="it-IT"/>
        </w:rPr>
        <w:t xml:space="preserve">contanti che anche in tal caso </w:t>
      </w:r>
      <w:r w:rsidRPr="007D29A1">
        <w:rPr>
          <w:rFonts w:ascii="Times New Roman" w:eastAsia="Times New Roman" w:hAnsi="Times New Roman" w:cs="Times New Roman"/>
          <w:color w:val="222222"/>
          <w:spacing w:val="8"/>
          <w:sz w:val="28"/>
          <w:szCs w:val="28"/>
          <w:lang w:eastAsia="it-IT"/>
        </w:rPr>
        <w:t xml:space="preserve">verranno </w:t>
      </w:r>
      <w:r>
        <w:rPr>
          <w:rFonts w:ascii="Times New Roman" w:eastAsia="Times New Roman" w:hAnsi="Times New Roman" w:cs="Times New Roman"/>
          <w:color w:val="222222"/>
          <w:spacing w:val="8"/>
          <w:sz w:val="28"/>
          <w:szCs w:val="28"/>
          <w:lang w:eastAsia="it-IT"/>
        </w:rPr>
        <w:t xml:space="preserve">anticipati dal distributore o esercente e </w:t>
      </w:r>
      <w:r w:rsidRPr="007D29A1">
        <w:rPr>
          <w:rFonts w:ascii="Times New Roman" w:eastAsia="Times New Roman" w:hAnsi="Times New Roman" w:cs="Times New Roman"/>
          <w:color w:val="222222"/>
          <w:spacing w:val="8"/>
          <w:sz w:val="28"/>
          <w:szCs w:val="28"/>
          <w:lang w:eastAsia="it-IT"/>
        </w:rPr>
        <w:t>poi rimborsati dal concessionario</w:t>
      </w:r>
      <w:r>
        <w:rPr>
          <w:rFonts w:ascii="Times New Roman" w:eastAsia="Times New Roman" w:hAnsi="Times New Roman" w:cs="Times New Roman"/>
          <w:color w:val="222222"/>
          <w:spacing w:val="8"/>
          <w:sz w:val="28"/>
          <w:szCs w:val="28"/>
          <w:lang w:eastAsia="it-IT"/>
        </w:rPr>
        <w:t>)</w:t>
      </w:r>
      <w:r w:rsidRPr="007D29A1">
        <w:rPr>
          <w:rFonts w:ascii="Times New Roman" w:eastAsia="Times New Roman" w:hAnsi="Times New Roman" w:cs="Times New Roman"/>
          <w:color w:val="222222"/>
          <w:spacing w:val="8"/>
          <w:sz w:val="28"/>
          <w:szCs w:val="28"/>
          <w:lang w:eastAsia="it-IT"/>
        </w:rPr>
        <w:t>. In tal caso, la corresponsione di bonifici sempre agli stessi soggetti potrà rappresentare un</w:t>
      </w:r>
      <w:r>
        <w:rPr>
          <w:rFonts w:ascii="Times New Roman" w:eastAsia="Times New Roman" w:hAnsi="Times New Roman" w:cs="Times New Roman"/>
          <w:color w:val="222222"/>
          <w:spacing w:val="8"/>
          <w:sz w:val="28"/>
          <w:szCs w:val="28"/>
          <w:lang w:eastAsia="it-IT"/>
        </w:rPr>
        <w:t xml:space="preserve"> primo</w:t>
      </w:r>
      <w:r w:rsidRPr="007D29A1">
        <w:rPr>
          <w:rFonts w:ascii="Times New Roman" w:eastAsia="Times New Roman" w:hAnsi="Times New Roman" w:cs="Times New Roman"/>
          <w:color w:val="222222"/>
          <w:spacing w:val="8"/>
          <w:sz w:val="28"/>
          <w:szCs w:val="28"/>
          <w:lang w:eastAsia="it-IT"/>
        </w:rPr>
        <w:t xml:space="preserve"> indicatore di anomalia in ordine alla possibile distrazione di fondi aziendali (è statisticamente infrequente che</w:t>
      </w:r>
      <w:r>
        <w:rPr>
          <w:rFonts w:ascii="Times New Roman" w:eastAsia="Times New Roman" w:hAnsi="Times New Roman" w:cs="Times New Roman"/>
          <w:color w:val="222222"/>
          <w:spacing w:val="8"/>
          <w:sz w:val="28"/>
          <w:szCs w:val="28"/>
          <w:lang w:eastAsia="it-IT"/>
        </w:rPr>
        <w:t xml:space="preserve"> sempre</w:t>
      </w:r>
      <w:r w:rsidRPr="007D29A1">
        <w:rPr>
          <w:rFonts w:ascii="Times New Roman" w:eastAsia="Times New Roman" w:hAnsi="Times New Roman" w:cs="Times New Roman"/>
          <w:color w:val="222222"/>
          <w:spacing w:val="8"/>
          <w:sz w:val="28"/>
          <w:szCs w:val="28"/>
          <w:lang w:eastAsia="it-IT"/>
        </w:rPr>
        <w:t xml:space="preserve"> un</w:t>
      </w:r>
      <w:r>
        <w:rPr>
          <w:rFonts w:ascii="Times New Roman" w:eastAsia="Times New Roman" w:hAnsi="Times New Roman" w:cs="Times New Roman"/>
          <w:color w:val="222222"/>
          <w:spacing w:val="8"/>
          <w:sz w:val="28"/>
          <w:szCs w:val="28"/>
          <w:lang w:eastAsia="it-IT"/>
        </w:rPr>
        <w:t>o</w:t>
      </w:r>
      <w:r w:rsidRPr="007D29A1">
        <w:rPr>
          <w:rFonts w:ascii="Times New Roman" w:eastAsia="Times New Roman" w:hAnsi="Times New Roman" w:cs="Times New Roman"/>
          <w:color w:val="222222"/>
          <w:spacing w:val="8"/>
          <w:sz w:val="28"/>
          <w:szCs w:val="28"/>
          <w:lang w:eastAsia="it-IT"/>
        </w:rPr>
        <w:t xml:space="preserve"> soggetto vinca numerose volte).</w:t>
      </w:r>
    </w:p>
    <w:p w:rsidR="00DB127A" w:rsidRPr="007D29A1" w:rsidRDefault="00DB127A" w:rsidP="00DB127A">
      <w:pPr>
        <w:spacing w:after="0" w:line="276" w:lineRule="auto"/>
        <w:ind w:firstLine="709"/>
        <w:jc w:val="both"/>
        <w:rPr>
          <w:rFonts w:ascii="Times New Roman" w:eastAsia="Times New Roman" w:hAnsi="Times New Roman" w:cs="Times New Roman"/>
          <w:color w:val="222222"/>
          <w:spacing w:val="8"/>
          <w:sz w:val="28"/>
          <w:szCs w:val="28"/>
          <w:lang w:eastAsia="it-IT"/>
        </w:rPr>
      </w:pPr>
      <w:r w:rsidRPr="007D29A1">
        <w:rPr>
          <w:rFonts w:ascii="Times New Roman" w:eastAsia="Times New Roman" w:hAnsi="Times New Roman" w:cs="Times New Roman"/>
          <w:color w:val="222222"/>
          <w:spacing w:val="8"/>
          <w:sz w:val="28"/>
          <w:szCs w:val="28"/>
          <w:lang w:eastAsia="it-IT"/>
        </w:rPr>
        <w:t xml:space="preserve">Lato </w:t>
      </w:r>
      <w:r w:rsidRPr="0027491C">
        <w:rPr>
          <w:rFonts w:ascii="Times New Roman" w:eastAsia="Times New Roman" w:hAnsi="Times New Roman" w:cs="Times New Roman"/>
          <w:b/>
          <w:color w:val="222222"/>
          <w:spacing w:val="8"/>
          <w:sz w:val="28"/>
          <w:szCs w:val="28"/>
          <w:lang w:eastAsia="it-IT"/>
        </w:rPr>
        <w:t>giocatore</w:t>
      </w:r>
      <w:r>
        <w:rPr>
          <w:rFonts w:ascii="Times New Roman" w:eastAsia="Times New Roman" w:hAnsi="Times New Roman" w:cs="Times New Roman"/>
          <w:color w:val="222222"/>
          <w:spacing w:val="8"/>
          <w:sz w:val="28"/>
          <w:szCs w:val="28"/>
          <w:lang w:eastAsia="it-IT"/>
        </w:rPr>
        <w:t xml:space="preserve"> invece,</w:t>
      </w:r>
      <w:r w:rsidRPr="007D29A1">
        <w:rPr>
          <w:rFonts w:ascii="Times New Roman" w:eastAsia="Times New Roman" w:hAnsi="Times New Roman" w:cs="Times New Roman"/>
          <w:color w:val="222222"/>
          <w:spacing w:val="8"/>
          <w:sz w:val="28"/>
          <w:szCs w:val="28"/>
          <w:lang w:eastAsia="it-IT"/>
        </w:rPr>
        <w:t xml:space="preserve"> elementi principali da tenere in considerazione per poter rilevare </w:t>
      </w:r>
      <w:r>
        <w:rPr>
          <w:rFonts w:ascii="Times New Roman" w:eastAsia="Times New Roman" w:hAnsi="Times New Roman" w:cs="Times New Roman"/>
          <w:color w:val="222222"/>
          <w:spacing w:val="8"/>
          <w:sz w:val="28"/>
          <w:szCs w:val="28"/>
          <w:lang w:eastAsia="it-IT"/>
        </w:rPr>
        <w:t xml:space="preserve">eventuali </w:t>
      </w:r>
      <w:r w:rsidRPr="007D29A1">
        <w:rPr>
          <w:rFonts w:ascii="Times New Roman" w:eastAsia="Times New Roman" w:hAnsi="Times New Roman" w:cs="Times New Roman"/>
          <w:color w:val="222222"/>
          <w:spacing w:val="8"/>
          <w:sz w:val="28"/>
          <w:szCs w:val="28"/>
          <w:lang w:eastAsia="it-IT"/>
        </w:rPr>
        <w:t xml:space="preserve">anomalie, sono i seguenti (si rimanda per completezza </w:t>
      </w:r>
      <w:r w:rsidRPr="00E2034A">
        <w:rPr>
          <w:rFonts w:ascii="Times New Roman" w:eastAsia="Times New Roman" w:hAnsi="Times New Roman" w:cs="Times New Roman"/>
          <w:color w:val="222222"/>
          <w:spacing w:val="8"/>
          <w:sz w:val="28"/>
          <w:szCs w:val="28"/>
          <w:lang w:eastAsia="it-IT"/>
        </w:rPr>
        <w:t>alla Comunicazione UIF</w:t>
      </w:r>
      <w:r>
        <w:rPr>
          <w:rStyle w:val="Rimandonotaapidipagina"/>
          <w:rFonts w:ascii="Times New Roman" w:eastAsia="Times New Roman" w:hAnsi="Times New Roman" w:cs="Times New Roman"/>
          <w:color w:val="222222"/>
          <w:spacing w:val="8"/>
          <w:sz w:val="28"/>
          <w:szCs w:val="28"/>
          <w:lang w:eastAsia="it-IT"/>
        </w:rPr>
        <w:footnoteReference w:id="4"/>
      </w:r>
      <w:r w:rsidRPr="00E2034A">
        <w:rPr>
          <w:rFonts w:ascii="Times New Roman" w:eastAsia="Times New Roman" w:hAnsi="Times New Roman" w:cs="Times New Roman"/>
          <w:color w:val="222222"/>
          <w:spacing w:val="8"/>
          <w:sz w:val="28"/>
          <w:szCs w:val="28"/>
          <w:lang w:eastAsia="it-IT"/>
        </w:rPr>
        <w:t>):</w:t>
      </w:r>
    </w:p>
    <w:p w:rsidR="00DB127A" w:rsidRDefault="00DB127A" w:rsidP="00DB127A">
      <w:pPr>
        <w:pStyle w:val="Paragrafoelenco"/>
        <w:numPr>
          <w:ilvl w:val="0"/>
          <w:numId w:val="1"/>
        </w:numPr>
        <w:spacing w:after="0" w:line="276" w:lineRule="auto"/>
        <w:jc w:val="both"/>
        <w:rPr>
          <w:rFonts w:ascii="Times New Roman" w:eastAsia="Times New Roman" w:hAnsi="Times New Roman" w:cs="Times New Roman"/>
          <w:color w:val="222222"/>
          <w:spacing w:val="8"/>
          <w:sz w:val="28"/>
          <w:szCs w:val="28"/>
          <w:lang w:eastAsia="it-IT"/>
        </w:rPr>
      </w:pPr>
      <w:r w:rsidRPr="00BA31F6">
        <w:rPr>
          <w:rFonts w:ascii="Times New Roman" w:eastAsia="Times New Roman" w:hAnsi="Times New Roman" w:cs="Times New Roman"/>
          <w:b/>
          <w:color w:val="222222"/>
          <w:spacing w:val="8"/>
          <w:sz w:val="28"/>
          <w:szCs w:val="28"/>
          <w:lang w:eastAsia="it-IT"/>
        </w:rPr>
        <w:t>Incremento delle</w:t>
      </w:r>
      <w:r w:rsidRPr="00BA31F6">
        <w:rPr>
          <w:rFonts w:ascii="Times New Roman" w:eastAsia="Times New Roman" w:hAnsi="Times New Roman" w:cs="Times New Roman"/>
          <w:color w:val="222222"/>
          <w:spacing w:val="8"/>
          <w:sz w:val="28"/>
          <w:szCs w:val="28"/>
          <w:lang w:eastAsia="it-IT"/>
        </w:rPr>
        <w:t xml:space="preserve"> </w:t>
      </w:r>
      <w:r w:rsidRPr="00BA31F6">
        <w:rPr>
          <w:rFonts w:ascii="Times New Roman" w:eastAsia="Times New Roman" w:hAnsi="Times New Roman" w:cs="Times New Roman"/>
          <w:b/>
          <w:color w:val="222222"/>
          <w:spacing w:val="8"/>
          <w:sz w:val="28"/>
          <w:szCs w:val="28"/>
          <w:lang w:eastAsia="it-IT"/>
        </w:rPr>
        <w:t>vincite o delle giocate</w:t>
      </w:r>
      <w:r w:rsidRPr="00BA31F6">
        <w:rPr>
          <w:rFonts w:ascii="Times New Roman" w:eastAsia="Times New Roman" w:hAnsi="Times New Roman" w:cs="Times New Roman"/>
          <w:color w:val="222222"/>
          <w:spacing w:val="8"/>
          <w:sz w:val="28"/>
          <w:szCs w:val="28"/>
          <w:lang w:eastAsia="it-IT"/>
        </w:rPr>
        <w:t xml:space="preserve"> in una dato punto operativo o in punti operativi ubicati in una data area geografica: tali indici possono essere rivelatori di una vera e propria “infiltrazione” sistematica di gruppi criminali </w:t>
      </w:r>
      <w:r w:rsidRPr="00BA31F6">
        <w:rPr>
          <w:rFonts w:ascii="Times New Roman" w:eastAsia="Times New Roman" w:hAnsi="Times New Roman" w:cs="Times New Roman"/>
          <w:color w:val="222222"/>
          <w:spacing w:val="8"/>
          <w:sz w:val="28"/>
          <w:szCs w:val="28"/>
          <w:lang w:eastAsia="it-IT"/>
        </w:rPr>
        <w:lastRenderedPageBreak/>
        <w:t xml:space="preserve">all’interno di distributori o esercenti, con lo scopo di “ripulire” in blocco proventi illeciti e giustificarli come vincite di gioco. Presumibilmente il montante finale ripulito sarà sempre inferiore all’importo “giocato”, rappresentando tale </w:t>
      </w:r>
      <w:r w:rsidRPr="00BA31F6">
        <w:rPr>
          <w:rFonts w:ascii="Times New Roman" w:eastAsia="Times New Roman" w:hAnsi="Times New Roman" w:cs="Times New Roman"/>
          <w:i/>
          <w:color w:val="222222"/>
          <w:spacing w:val="8"/>
          <w:sz w:val="28"/>
          <w:szCs w:val="28"/>
          <w:lang w:eastAsia="it-IT"/>
        </w:rPr>
        <w:t xml:space="preserve">spread </w:t>
      </w:r>
      <w:r w:rsidRPr="00BA31F6">
        <w:rPr>
          <w:rFonts w:ascii="Times New Roman" w:eastAsia="Times New Roman" w:hAnsi="Times New Roman" w:cs="Times New Roman"/>
          <w:color w:val="222222"/>
          <w:spacing w:val="8"/>
          <w:sz w:val="28"/>
          <w:szCs w:val="28"/>
          <w:lang w:eastAsia="it-IT"/>
        </w:rPr>
        <w:t xml:space="preserve">negativo il “costo” del riciclaggio.  </w:t>
      </w:r>
    </w:p>
    <w:p w:rsidR="00DB127A" w:rsidRDefault="00DB127A" w:rsidP="00DB127A">
      <w:pPr>
        <w:pStyle w:val="Paragrafoelenco"/>
        <w:numPr>
          <w:ilvl w:val="0"/>
          <w:numId w:val="1"/>
        </w:numPr>
        <w:spacing w:after="0" w:line="276" w:lineRule="auto"/>
        <w:jc w:val="both"/>
        <w:rPr>
          <w:rFonts w:ascii="Times New Roman" w:eastAsia="Times New Roman" w:hAnsi="Times New Roman" w:cs="Times New Roman"/>
          <w:color w:val="222222"/>
          <w:spacing w:val="8"/>
          <w:sz w:val="28"/>
          <w:szCs w:val="28"/>
          <w:lang w:eastAsia="it-IT"/>
        </w:rPr>
      </w:pPr>
      <w:r w:rsidRPr="00E207D2">
        <w:rPr>
          <w:rFonts w:ascii="Times New Roman" w:eastAsia="Times New Roman" w:hAnsi="Times New Roman" w:cs="Times New Roman"/>
          <w:color w:val="222222"/>
          <w:spacing w:val="8"/>
          <w:sz w:val="28"/>
          <w:szCs w:val="28"/>
          <w:lang w:eastAsia="it-IT"/>
        </w:rPr>
        <w:t xml:space="preserve">In tema di scommesse “a perdere”, è emblematico il caso di più </w:t>
      </w:r>
      <w:r w:rsidRPr="00E207D2">
        <w:rPr>
          <w:rFonts w:ascii="Times New Roman" w:eastAsia="Times New Roman" w:hAnsi="Times New Roman" w:cs="Times New Roman"/>
          <w:b/>
          <w:color w:val="222222"/>
          <w:spacing w:val="8"/>
          <w:sz w:val="28"/>
          <w:szCs w:val="28"/>
          <w:lang w:eastAsia="it-IT"/>
        </w:rPr>
        <w:t>scommesse</w:t>
      </w:r>
      <w:r w:rsidRPr="00E207D2">
        <w:rPr>
          <w:rFonts w:ascii="Times New Roman" w:eastAsia="Times New Roman" w:hAnsi="Times New Roman" w:cs="Times New Roman"/>
          <w:color w:val="222222"/>
          <w:spacing w:val="8"/>
          <w:sz w:val="28"/>
          <w:szCs w:val="28"/>
          <w:lang w:eastAsia="it-IT"/>
        </w:rPr>
        <w:t xml:space="preserve"> fatte dallo stesso giocatore sul medesimo evento per più risultati prospettabili, con la conseguenza che, comunque vada, il giocatore maturerà una perdita. Si pensi anche all’anomalo incremento di giocate verificatesi in merito ad un dato evento (es. una partita di calcio) da parte di più giocatori, tutti appartenenti al medesimo Gruppo, con la conseguenza che anche in tal caso non tutti i membri del sodalizio matureranno una vincita.</w:t>
      </w:r>
    </w:p>
    <w:p w:rsidR="00DB127A" w:rsidRDefault="00DB127A" w:rsidP="00DB127A">
      <w:pPr>
        <w:pStyle w:val="Paragrafoelenco"/>
        <w:numPr>
          <w:ilvl w:val="0"/>
          <w:numId w:val="1"/>
        </w:numPr>
        <w:spacing w:after="0" w:line="276" w:lineRule="auto"/>
        <w:jc w:val="both"/>
        <w:rPr>
          <w:rFonts w:ascii="Times New Roman" w:eastAsia="Times New Roman" w:hAnsi="Times New Roman" w:cs="Times New Roman"/>
          <w:color w:val="222222"/>
          <w:spacing w:val="8"/>
          <w:sz w:val="28"/>
          <w:szCs w:val="28"/>
          <w:lang w:eastAsia="it-IT"/>
        </w:rPr>
      </w:pPr>
      <w:r w:rsidRPr="00E207D2">
        <w:rPr>
          <w:rFonts w:ascii="Times New Roman" w:eastAsia="Times New Roman" w:hAnsi="Times New Roman" w:cs="Times New Roman"/>
          <w:color w:val="222222"/>
          <w:spacing w:val="8"/>
          <w:sz w:val="28"/>
          <w:szCs w:val="28"/>
          <w:lang w:eastAsia="it-IT"/>
        </w:rPr>
        <w:t xml:space="preserve">In merito ai </w:t>
      </w:r>
      <w:r w:rsidRPr="00E207D2">
        <w:rPr>
          <w:rFonts w:ascii="Times New Roman" w:eastAsia="Times New Roman" w:hAnsi="Times New Roman" w:cs="Times New Roman"/>
          <w:b/>
          <w:color w:val="222222"/>
          <w:spacing w:val="8"/>
          <w:sz w:val="28"/>
          <w:szCs w:val="28"/>
          <w:lang w:eastAsia="it-IT"/>
        </w:rPr>
        <w:t>gratta e vinci</w:t>
      </w:r>
      <w:r w:rsidRPr="00E207D2">
        <w:rPr>
          <w:rFonts w:ascii="Times New Roman" w:eastAsia="Times New Roman" w:hAnsi="Times New Roman" w:cs="Times New Roman"/>
          <w:color w:val="222222"/>
          <w:spacing w:val="8"/>
          <w:sz w:val="28"/>
          <w:szCs w:val="28"/>
          <w:lang w:eastAsia="it-IT"/>
        </w:rPr>
        <w:t xml:space="preserve"> invece, è frequente il loro utilizzo da parte di associazioni mafiose, che utilizzano lo strumento come forma di “remunerazione” per i soggetti affiliati; in particolare, il meccanismo può essere così sintetizzato: il titolo vincente viene acquistato dal vincitore effettivo ad un prezzo maggiorato (es. il titolo è vincente per 1.000 euro, viene acquistato per 1.100 euro), e poi girato per l’incasso al beneficiario. In tal caso, per giustificare le plurime vincite da parte di singolo cliente, oltre alla richiesta delle </w:t>
      </w:r>
      <w:r w:rsidRPr="00E207D2">
        <w:rPr>
          <w:rFonts w:ascii="Times New Roman" w:eastAsia="Times New Roman" w:hAnsi="Times New Roman" w:cs="Times New Roman"/>
          <w:b/>
          <w:color w:val="222222"/>
          <w:spacing w:val="8"/>
          <w:sz w:val="28"/>
          <w:szCs w:val="28"/>
          <w:lang w:eastAsia="it-IT"/>
        </w:rPr>
        <w:t xml:space="preserve">matrici </w:t>
      </w:r>
      <w:r w:rsidRPr="00E207D2">
        <w:rPr>
          <w:rFonts w:ascii="Times New Roman" w:eastAsia="Times New Roman" w:hAnsi="Times New Roman" w:cs="Times New Roman"/>
          <w:color w:val="222222"/>
          <w:spacing w:val="8"/>
          <w:sz w:val="28"/>
          <w:szCs w:val="28"/>
          <w:lang w:eastAsia="it-IT"/>
        </w:rPr>
        <w:t xml:space="preserve">attestanti la vincita, risulterà opportuno esperire una accurata istruttoria sul profilo soggettivo del nominativo (es. evidenze di appartenenza diretta, o dei propri congiunti/soggetti contigui, ad associazioni criminali; area geografica di riferimento ecc.). Stesso discorso può farsi con riferimento ai </w:t>
      </w:r>
      <w:r w:rsidRPr="00E207D2">
        <w:rPr>
          <w:rFonts w:ascii="Times New Roman" w:eastAsia="Times New Roman" w:hAnsi="Times New Roman" w:cs="Times New Roman"/>
          <w:b/>
          <w:color w:val="222222"/>
          <w:spacing w:val="8"/>
          <w:sz w:val="28"/>
          <w:szCs w:val="28"/>
          <w:lang w:eastAsia="it-IT"/>
        </w:rPr>
        <w:t>ticket</w:t>
      </w:r>
      <w:r w:rsidRPr="00E207D2">
        <w:rPr>
          <w:rFonts w:ascii="Times New Roman" w:eastAsia="Times New Roman" w:hAnsi="Times New Roman" w:cs="Times New Roman"/>
          <w:color w:val="222222"/>
          <w:spacing w:val="8"/>
          <w:sz w:val="28"/>
          <w:szCs w:val="28"/>
          <w:lang w:eastAsia="it-IT"/>
        </w:rPr>
        <w:t xml:space="preserve"> di vincita VLT.</w:t>
      </w:r>
    </w:p>
    <w:p w:rsidR="00DB127A" w:rsidRDefault="00DB127A" w:rsidP="00DB127A">
      <w:pPr>
        <w:pStyle w:val="Paragrafoelenco"/>
        <w:numPr>
          <w:ilvl w:val="0"/>
          <w:numId w:val="1"/>
        </w:numPr>
        <w:spacing w:after="0" w:line="276" w:lineRule="auto"/>
        <w:jc w:val="both"/>
        <w:rPr>
          <w:rFonts w:ascii="Times New Roman" w:eastAsia="Times New Roman" w:hAnsi="Times New Roman" w:cs="Times New Roman"/>
          <w:color w:val="222222"/>
          <w:spacing w:val="8"/>
          <w:sz w:val="28"/>
          <w:szCs w:val="28"/>
          <w:lang w:eastAsia="it-IT"/>
        </w:rPr>
      </w:pPr>
      <w:r w:rsidRPr="00E207D2">
        <w:rPr>
          <w:rFonts w:ascii="Times New Roman" w:eastAsia="Times New Roman" w:hAnsi="Times New Roman" w:cs="Times New Roman"/>
          <w:b/>
          <w:color w:val="222222"/>
          <w:spacing w:val="8"/>
          <w:sz w:val="28"/>
          <w:szCs w:val="28"/>
          <w:lang w:eastAsia="it-IT"/>
        </w:rPr>
        <w:t xml:space="preserve">Apposita richiesta di incasso della vincita </w:t>
      </w:r>
      <w:r w:rsidRPr="00E207D2">
        <w:rPr>
          <w:rFonts w:ascii="Times New Roman" w:eastAsia="Times New Roman" w:hAnsi="Times New Roman" w:cs="Times New Roman"/>
          <w:color w:val="222222"/>
          <w:spacing w:val="8"/>
          <w:sz w:val="28"/>
          <w:szCs w:val="28"/>
          <w:lang w:eastAsia="it-IT"/>
        </w:rPr>
        <w:t xml:space="preserve">a favore di soggetto diverso dal giocatore o verso Paesi o diverse da quelle di residenza del punto operativo di gioco: tutte le volte in cui si rompe l’identità soggetto giocatore/soggetto beneficiario della somma, si accende un inevitabile campanello d’allarme, con la nascita del sospetto che l’intera attività di gioco sia stata realizzata a favore di soggetto diverso e per finalità estranee al mero guadagno economico del giocatore. Tale anomalia si riscontra anche laddove venga meno la connessione geografica tra luogo di giocata e luogo per c.d. di “affari” ed interesse del giocatore.  </w:t>
      </w:r>
    </w:p>
    <w:p w:rsidR="00DB127A" w:rsidRPr="0027491C" w:rsidRDefault="00DB127A" w:rsidP="00DB127A">
      <w:pPr>
        <w:pStyle w:val="Paragrafoelenco"/>
        <w:numPr>
          <w:ilvl w:val="0"/>
          <w:numId w:val="1"/>
        </w:numPr>
        <w:spacing w:after="0" w:line="276" w:lineRule="auto"/>
        <w:jc w:val="both"/>
        <w:rPr>
          <w:rFonts w:ascii="Times New Roman" w:eastAsia="Times New Roman" w:hAnsi="Times New Roman" w:cs="Times New Roman"/>
          <w:color w:val="222222"/>
          <w:spacing w:val="8"/>
          <w:sz w:val="28"/>
          <w:szCs w:val="28"/>
          <w:lang w:eastAsia="it-IT"/>
        </w:rPr>
      </w:pPr>
      <w:r w:rsidRPr="00E207D2">
        <w:rPr>
          <w:rFonts w:ascii="Times New Roman" w:eastAsia="Times New Roman" w:hAnsi="Times New Roman" w:cs="Times New Roman"/>
          <w:b/>
          <w:color w:val="222222"/>
          <w:spacing w:val="8"/>
          <w:sz w:val="28"/>
          <w:szCs w:val="28"/>
          <w:lang w:eastAsia="it-IT"/>
        </w:rPr>
        <w:t>Banconote di elevato taglio:</w:t>
      </w:r>
      <w:r w:rsidRPr="00E207D2">
        <w:rPr>
          <w:rFonts w:ascii="Times New Roman" w:eastAsia="Times New Roman" w:hAnsi="Times New Roman" w:cs="Times New Roman"/>
          <w:color w:val="222222"/>
          <w:spacing w:val="8"/>
          <w:sz w:val="28"/>
          <w:szCs w:val="28"/>
          <w:lang w:eastAsia="it-IT"/>
        </w:rPr>
        <w:t xml:space="preserve"> è chiaro che l’utilizzo di banconote di taglio apicale sopra la soglia di 2.500 euro è sempre meritevole di segnalazione; al tempo stesso, l’utilizzo di banconote di tal fatta al di sotto della soglia normativa deve comunque far sorgere un forte elemento di sospetto circa la mera volontà di “ripulire” quelle somme (è raro che su un evento aleatorio </w:t>
      </w:r>
      <w:r w:rsidRPr="00E207D2">
        <w:rPr>
          <w:rFonts w:ascii="Times New Roman" w:eastAsia="Times New Roman" w:hAnsi="Times New Roman" w:cs="Times New Roman"/>
          <w:color w:val="222222"/>
          <w:spacing w:val="8"/>
          <w:sz w:val="28"/>
          <w:szCs w:val="28"/>
          <w:lang w:eastAsia="it-IT"/>
        </w:rPr>
        <w:lastRenderedPageBreak/>
        <w:t>come il pronostico su un evento, si scommettano a cuor leggere somme rilevanti).</w:t>
      </w:r>
    </w:p>
    <w:p w:rsidR="00DB127A" w:rsidRPr="007D29A1" w:rsidRDefault="00DB127A" w:rsidP="00DB127A">
      <w:pPr>
        <w:spacing w:after="0" w:line="276" w:lineRule="auto"/>
        <w:ind w:firstLine="709"/>
        <w:jc w:val="both"/>
        <w:rPr>
          <w:rFonts w:ascii="Times New Roman" w:eastAsia="Times New Roman" w:hAnsi="Times New Roman" w:cs="Times New Roman"/>
          <w:color w:val="222222"/>
          <w:spacing w:val="8"/>
          <w:sz w:val="28"/>
          <w:szCs w:val="28"/>
          <w:lang w:eastAsia="it-IT"/>
        </w:rPr>
      </w:pPr>
      <w:r w:rsidRPr="007D29A1">
        <w:rPr>
          <w:rFonts w:ascii="Times New Roman" w:eastAsia="Times New Roman" w:hAnsi="Times New Roman" w:cs="Times New Roman"/>
          <w:color w:val="222222"/>
          <w:spacing w:val="8"/>
          <w:sz w:val="28"/>
          <w:szCs w:val="28"/>
          <w:lang w:eastAsia="it-IT"/>
        </w:rPr>
        <w:t xml:space="preserve">In merito al </w:t>
      </w:r>
      <w:r w:rsidRPr="007D29A1">
        <w:rPr>
          <w:rFonts w:ascii="Times New Roman" w:eastAsia="Times New Roman" w:hAnsi="Times New Roman" w:cs="Times New Roman"/>
          <w:b/>
          <w:color w:val="222222"/>
          <w:spacing w:val="8"/>
          <w:sz w:val="28"/>
          <w:szCs w:val="28"/>
          <w:lang w:eastAsia="it-IT"/>
        </w:rPr>
        <w:t xml:space="preserve">gioco </w:t>
      </w:r>
      <w:r w:rsidRPr="007D29A1">
        <w:rPr>
          <w:rFonts w:ascii="Times New Roman" w:eastAsia="Times New Roman" w:hAnsi="Times New Roman" w:cs="Times New Roman"/>
          <w:b/>
          <w:i/>
          <w:color w:val="222222"/>
          <w:spacing w:val="8"/>
          <w:sz w:val="28"/>
          <w:szCs w:val="28"/>
          <w:lang w:eastAsia="it-IT"/>
        </w:rPr>
        <w:t>online</w:t>
      </w:r>
      <w:r w:rsidRPr="007D29A1">
        <w:rPr>
          <w:rStyle w:val="Rimandonotaapidipagina"/>
          <w:rFonts w:ascii="Times New Roman" w:eastAsia="Times New Roman" w:hAnsi="Times New Roman" w:cs="Times New Roman"/>
          <w:b/>
          <w:i/>
          <w:color w:val="222222"/>
          <w:spacing w:val="8"/>
          <w:sz w:val="28"/>
          <w:szCs w:val="28"/>
          <w:lang w:eastAsia="it-IT"/>
        </w:rPr>
        <w:footnoteReference w:id="5"/>
      </w:r>
      <w:r w:rsidRPr="007D29A1">
        <w:rPr>
          <w:rFonts w:ascii="Times New Roman" w:eastAsia="Times New Roman" w:hAnsi="Times New Roman" w:cs="Times New Roman"/>
          <w:i/>
          <w:color w:val="222222"/>
          <w:spacing w:val="8"/>
          <w:sz w:val="28"/>
          <w:szCs w:val="28"/>
          <w:lang w:eastAsia="it-IT"/>
        </w:rPr>
        <w:t xml:space="preserve"> </w:t>
      </w:r>
      <w:r>
        <w:rPr>
          <w:rFonts w:ascii="Times New Roman" w:eastAsia="Times New Roman" w:hAnsi="Times New Roman" w:cs="Times New Roman"/>
          <w:color w:val="222222"/>
          <w:spacing w:val="8"/>
          <w:sz w:val="28"/>
          <w:szCs w:val="28"/>
          <w:lang w:eastAsia="it-IT"/>
        </w:rPr>
        <w:t>(</w:t>
      </w:r>
      <w:r w:rsidRPr="007D29A1">
        <w:rPr>
          <w:rFonts w:ascii="Times New Roman" w:eastAsia="Times New Roman" w:hAnsi="Times New Roman" w:cs="Times New Roman"/>
          <w:color w:val="222222"/>
          <w:spacing w:val="8"/>
          <w:sz w:val="28"/>
          <w:szCs w:val="28"/>
          <w:lang w:eastAsia="it-IT"/>
        </w:rPr>
        <w:t>lato giocatore), le valutazioni da effettuarsi sono più affini a quelle espletabili su un rapporto bancario rispe</w:t>
      </w:r>
      <w:r>
        <w:rPr>
          <w:rFonts w:ascii="Times New Roman" w:eastAsia="Times New Roman" w:hAnsi="Times New Roman" w:cs="Times New Roman"/>
          <w:color w:val="222222"/>
          <w:spacing w:val="8"/>
          <w:sz w:val="28"/>
          <w:szCs w:val="28"/>
          <w:lang w:eastAsia="it-IT"/>
        </w:rPr>
        <w:t>tto ad ogni cliente consumatore:</w:t>
      </w:r>
      <w:r w:rsidRPr="007D29A1">
        <w:rPr>
          <w:rFonts w:ascii="Times New Roman" w:eastAsia="Times New Roman" w:hAnsi="Times New Roman" w:cs="Times New Roman"/>
          <w:color w:val="222222"/>
          <w:spacing w:val="8"/>
          <w:sz w:val="28"/>
          <w:szCs w:val="28"/>
          <w:lang w:eastAsia="it-IT"/>
        </w:rPr>
        <w:t xml:space="preserve"> il conto di gioco implica anzitutto una disamina del profilo soggettivo -</w:t>
      </w:r>
      <w:r>
        <w:rPr>
          <w:rFonts w:ascii="Times New Roman" w:eastAsia="Times New Roman" w:hAnsi="Times New Roman" w:cs="Times New Roman"/>
          <w:color w:val="222222"/>
          <w:spacing w:val="8"/>
          <w:sz w:val="28"/>
          <w:szCs w:val="28"/>
          <w:lang w:eastAsia="it-IT"/>
        </w:rPr>
        <w:t xml:space="preserve"> con tutte i problematici</w:t>
      </w:r>
      <w:r w:rsidRPr="007D29A1">
        <w:rPr>
          <w:rFonts w:ascii="Times New Roman" w:eastAsia="Times New Roman" w:hAnsi="Times New Roman" w:cs="Times New Roman"/>
          <w:color w:val="222222"/>
          <w:spacing w:val="8"/>
          <w:sz w:val="28"/>
          <w:szCs w:val="28"/>
          <w:lang w:eastAsia="it-IT"/>
        </w:rPr>
        <w:t xml:space="preserve"> sviluppi</w:t>
      </w:r>
      <w:r>
        <w:rPr>
          <w:rFonts w:ascii="Times New Roman" w:eastAsia="Times New Roman" w:hAnsi="Times New Roman" w:cs="Times New Roman"/>
          <w:color w:val="222222"/>
          <w:spacing w:val="8"/>
          <w:sz w:val="28"/>
          <w:szCs w:val="28"/>
          <w:lang w:eastAsia="it-IT"/>
        </w:rPr>
        <w:t xml:space="preserve"> eventualmente</w:t>
      </w:r>
      <w:r w:rsidRPr="007D29A1">
        <w:rPr>
          <w:rFonts w:ascii="Times New Roman" w:eastAsia="Times New Roman" w:hAnsi="Times New Roman" w:cs="Times New Roman"/>
          <w:color w:val="222222"/>
          <w:spacing w:val="8"/>
          <w:sz w:val="28"/>
          <w:szCs w:val="28"/>
          <w:lang w:eastAsia="it-IT"/>
        </w:rPr>
        <w:t xml:space="preserve"> derivanti dalla </w:t>
      </w:r>
      <w:r w:rsidRPr="007D29A1">
        <w:rPr>
          <w:rFonts w:ascii="Times New Roman" w:eastAsia="Times New Roman" w:hAnsi="Times New Roman" w:cs="Times New Roman"/>
          <w:b/>
          <w:color w:val="222222"/>
          <w:spacing w:val="8"/>
          <w:sz w:val="28"/>
          <w:szCs w:val="28"/>
          <w:lang w:eastAsia="it-IT"/>
        </w:rPr>
        <w:t>identificazione a distanza</w:t>
      </w:r>
      <w:r w:rsidRPr="007D29A1">
        <w:rPr>
          <w:rFonts w:ascii="Times New Roman" w:eastAsia="Times New Roman" w:hAnsi="Times New Roman" w:cs="Times New Roman"/>
          <w:color w:val="222222"/>
          <w:spacing w:val="8"/>
          <w:sz w:val="28"/>
          <w:szCs w:val="28"/>
          <w:lang w:eastAsia="it-IT"/>
        </w:rPr>
        <w:t xml:space="preserve"> del cliente – e successivamente una disamina delle singole transazioni.</w:t>
      </w:r>
    </w:p>
    <w:p w:rsidR="00DB127A" w:rsidRDefault="00DB127A" w:rsidP="00DB127A">
      <w:pPr>
        <w:spacing w:after="0" w:line="276" w:lineRule="auto"/>
        <w:ind w:firstLine="709"/>
        <w:jc w:val="both"/>
        <w:rPr>
          <w:rFonts w:ascii="Times New Roman" w:eastAsia="Times New Roman" w:hAnsi="Times New Roman" w:cs="Times New Roman"/>
          <w:color w:val="222222"/>
          <w:spacing w:val="8"/>
          <w:sz w:val="28"/>
          <w:szCs w:val="28"/>
          <w:lang w:eastAsia="it-IT"/>
        </w:rPr>
      </w:pPr>
      <w:r w:rsidRPr="007D29A1">
        <w:rPr>
          <w:rFonts w:ascii="Times New Roman" w:eastAsia="Times New Roman" w:hAnsi="Times New Roman" w:cs="Times New Roman"/>
          <w:color w:val="222222"/>
          <w:spacing w:val="8"/>
          <w:sz w:val="28"/>
          <w:szCs w:val="28"/>
          <w:lang w:eastAsia="it-IT"/>
        </w:rPr>
        <w:t xml:space="preserve">Ciò premesso, possono </w:t>
      </w:r>
      <w:r w:rsidRPr="007D29A1">
        <w:rPr>
          <w:rFonts w:ascii="Times New Roman" w:eastAsia="Times New Roman" w:hAnsi="Times New Roman" w:cs="Times New Roman"/>
          <w:i/>
          <w:color w:val="222222"/>
          <w:spacing w:val="8"/>
          <w:sz w:val="28"/>
          <w:szCs w:val="28"/>
          <w:lang w:eastAsia="it-IT"/>
        </w:rPr>
        <w:t xml:space="preserve">quivi </w:t>
      </w:r>
      <w:r w:rsidRPr="007D29A1">
        <w:rPr>
          <w:rFonts w:ascii="Times New Roman" w:eastAsia="Times New Roman" w:hAnsi="Times New Roman" w:cs="Times New Roman"/>
          <w:color w:val="222222"/>
          <w:spacing w:val="8"/>
          <w:sz w:val="28"/>
          <w:szCs w:val="28"/>
          <w:lang w:eastAsia="it-IT"/>
        </w:rPr>
        <w:t>venire in rilievo i seguenti indicatori:</w:t>
      </w:r>
    </w:p>
    <w:p w:rsidR="00DB127A" w:rsidRDefault="00DB127A" w:rsidP="00DB127A">
      <w:pPr>
        <w:pStyle w:val="Paragrafoelenco"/>
        <w:numPr>
          <w:ilvl w:val="0"/>
          <w:numId w:val="2"/>
        </w:numPr>
        <w:spacing w:after="0" w:line="276" w:lineRule="auto"/>
        <w:jc w:val="both"/>
        <w:rPr>
          <w:rFonts w:ascii="Times New Roman" w:eastAsia="Times New Roman" w:hAnsi="Times New Roman" w:cs="Times New Roman"/>
          <w:color w:val="222222"/>
          <w:spacing w:val="8"/>
          <w:sz w:val="28"/>
          <w:szCs w:val="28"/>
          <w:lang w:eastAsia="it-IT"/>
        </w:rPr>
      </w:pPr>
      <w:r w:rsidRPr="00AF1709">
        <w:rPr>
          <w:rFonts w:ascii="Times New Roman" w:eastAsia="Times New Roman" w:hAnsi="Times New Roman" w:cs="Times New Roman"/>
          <w:color w:val="222222"/>
          <w:spacing w:val="8"/>
          <w:sz w:val="28"/>
          <w:szCs w:val="28"/>
          <w:lang w:eastAsia="it-IT"/>
        </w:rPr>
        <w:t xml:space="preserve">Presenza di </w:t>
      </w:r>
      <w:r w:rsidRPr="00AF1709">
        <w:rPr>
          <w:rFonts w:ascii="Times New Roman" w:eastAsia="Times New Roman" w:hAnsi="Times New Roman" w:cs="Times New Roman"/>
          <w:b/>
          <w:color w:val="222222"/>
          <w:spacing w:val="8"/>
          <w:sz w:val="28"/>
          <w:szCs w:val="28"/>
          <w:lang w:eastAsia="it-IT"/>
        </w:rPr>
        <w:t>più conti intestati</w:t>
      </w:r>
      <w:r w:rsidRPr="00AF1709">
        <w:rPr>
          <w:rFonts w:ascii="Times New Roman" w:eastAsia="Times New Roman" w:hAnsi="Times New Roman" w:cs="Times New Roman"/>
          <w:color w:val="222222"/>
          <w:spacing w:val="8"/>
          <w:sz w:val="28"/>
          <w:szCs w:val="28"/>
          <w:lang w:eastAsia="it-IT"/>
        </w:rPr>
        <w:t xml:space="preserve"> al medesimo soggetto: lo stesso potrebbe aver “frammentato” i rapporti per rendere più rarefatta e sfuggente l’intera operatività, potendo permettersi in tal caso di movimentare volumi meno elevati (che potrebbero dare maggiormente “nell’occhio”) su ciascun conto;</w:t>
      </w:r>
    </w:p>
    <w:p w:rsidR="00DB127A" w:rsidRDefault="00DB127A" w:rsidP="00DB127A">
      <w:pPr>
        <w:pStyle w:val="Paragrafoelenco"/>
        <w:numPr>
          <w:ilvl w:val="0"/>
          <w:numId w:val="2"/>
        </w:numPr>
        <w:spacing w:after="0" w:line="276" w:lineRule="auto"/>
        <w:jc w:val="both"/>
        <w:rPr>
          <w:rFonts w:ascii="Times New Roman" w:eastAsia="Times New Roman" w:hAnsi="Times New Roman" w:cs="Times New Roman"/>
          <w:color w:val="222222"/>
          <w:spacing w:val="8"/>
          <w:sz w:val="28"/>
          <w:szCs w:val="28"/>
          <w:lang w:eastAsia="it-IT"/>
        </w:rPr>
      </w:pPr>
      <w:r w:rsidRPr="00AF1709">
        <w:rPr>
          <w:rFonts w:ascii="Times New Roman" w:eastAsia="Times New Roman" w:hAnsi="Times New Roman" w:cs="Times New Roman"/>
          <w:b/>
          <w:color w:val="222222"/>
          <w:spacing w:val="8"/>
          <w:sz w:val="28"/>
          <w:szCs w:val="28"/>
          <w:lang w:eastAsia="it-IT"/>
        </w:rPr>
        <w:t>Incoerenza</w:t>
      </w:r>
      <w:r w:rsidRPr="00AF1709">
        <w:rPr>
          <w:rFonts w:ascii="Times New Roman" w:eastAsia="Times New Roman" w:hAnsi="Times New Roman" w:cs="Times New Roman"/>
          <w:color w:val="222222"/>
          <w:spacing w:val="8"/>
          <w:sz w:val="28"/>
          <w:szCs w:val="28"/>
          <w:lang w:eastAsia="it-IT"/>
        </w:rPr>
        <w:t xml:space="preserve"> tra profilo soggettivo del cliente e volume delle giocate: con la conseguenza che quei fondi potrebbero essere proventi “in nero” da ripulire, ovvero che il cliente stia agendo in funzione di prestanome per conto di altri;</w:t>
      </w:r>
    </w:p>
    <w:p w:rsidR="00DB127A" w:rsidRDefault="00DB127A" w:rsidP="00DB127A">
      <w:pPr>
        <w:pStyle w:val="Paragrafoelenco"/>
        <w:numPr>
          <w:ilvl w:val="0"/>
          <w:numId w:val="2"/>
        </w:numPr>
        <w:spacing w:after="0" w:line="276" w:lineRule="auto"/>
        <w:jc w:val="both"/>
        <w:rPr>
          <w:rFonts w:ascii="Times New Roman" w:eastAsia="Times New Roman" w:hAnsi="Times New Roman" w:cs="Times New Roman"/>
          <w:color w:val="222222"/>
          <w:spacing w:val="8"/>
          <w:sz w:val="28"/>
          <w:szCs w:val="28"/>
          <w:lang w:eastAsia="it-IT"/>
        </w:rPr>
      </w:pPr>
      <w:r w:rsidRPr="00AF1709">
        <w:rPr>
          <w:rFonts w:ascii="Times New Roman" w:eastAsia="Times New Roman" w:hAnsi="Times New Roman" w:cs="Times New Roman"/>
          <w:b/>
          <w:color w:val="222222"/>
          <w:spacing w:val="8"/>
          <w:sz w:val="28"/>
          <w:szCs w:val="28"/>
          <w:lang w:eastAsia="it-IT"/>
        </w:rPr>
        <w:t>Giacenza</w:t>
      </w:r>
      <w:r w:rsidRPr="00AF1709">
        <w:rPr>
          <w:rFonts w:ascii="Times New Roman" w:eastAsia="Times New Roman" w:hAnsi="Times New Roman" w:cs="Times New Roman"/>
          <w:color w:val="222222"/>
          <w:spacing w:val="8"/>
          <w:sz w:val="28"/>
          <w:szCs w:val="28"/>
          <w:lang w:eastAsia="it-IT"/>
        </w:rPr>
        <w:t xml:space="preserve"> sul conto a lungo </w:t>
      </w:r>
      <w:r w:rsidRPr="00AF1709">
        <w:rPr>
          <w:rFonts w:ascii="Times New Roman" w:eastAsia="Times New Roman" w:hAnsi="Times New Roman" w:cs="Times New Roman"/>
          <w:b/>
          <w:color w:val="222222"/>
          <w:spacing w:val="8"/>
          <w:sz w:val="28"/>
          <w:szCs w:val="28"/>
          <w:lang w:eastAsia="it-IT"/>
        </w:rPr>
        <w:t>inutilizzata:</w:t>
      </w:r>
      <w:r w:rsidRPr="00AF1709">
        <w:rPr>
          <w:rFonts w:ascii="Times New Roman" w:eastAsia="Times New Roman" w:hAnsi="Times New Roman" w:cs="Times New Roman"/>
          <w:color w:val="222222"/>
          <w:spacing w:val="8"/>
          <w:sz w:val="28"/>
          <w:szCs w:val="28"/>
          <w:lang w:eastAsia="it-IT"/>
        </w:rPr>
        <w:t xml:space="preserve"> con la conseguenza che il conto di gioco, più che essere stato acceso per le relative finalità, possa configurarsi come un “parcheggio” temporaneo di somme, di cui tornarne nella disponibilità al momento più opportuno;</w:t>
      </w:r>
    </w:p>
    <w:p w:rsidR="00DB127A" w:rsidRDefault="00DB127A" w:rsidP="00DB127A">
      <w:pPr>
        <w:pStyle w:val="Paragrafoelenco"/>
        <w:numPr>
          <w:ilvl w:val="0"/>
          <w:numId w:val="2"/>
        </w:numPr>
        <w:spacing w:after="0" w:line="276" w:lineRule="auto"/>
        <w:jc w:val="both"/>
        <w:rPr>
          <w:rFonts w:ascii="Times New Roman" w:eastAsia="Times New Roman" w:hAnsi="Times New Roman" w:cs="Times New Roman"/>
          <w:color w:val="222222"/>
          <w:spacing w:val="8"/>
          <w:sz w:val="28"/>
          <w:szCs w:val="28"/>
          <w:lang w:eastAsia="it-IT"/>
        </w:rPr>
      </w:pPr>
      <w:r w:rsidRPr="00AF1709">
        <w:rPr>
          <w:rFonts w:ascii="Times New Roman" w:eastAsia="Times New Roman" w:hAnsi="Times New Roman" w:cs="Times New Roman"/>
          <w:b/>
          <w:color w:val="222222"/>
          <w:spacing w:val="8"/>
          <w:sz w:val="28"/>
          <w:szCs w:val="28"/>
          <w:lang w:eastAsia="it-IT"/>
        </w:rPr>
        <w:t>Contestualità</w:t>
      </w:r>
      <w:r w:rsidRPr="00AF1709">
        <w:rPr>
          <w:rFonts w:ascii="Times New Roman" w:eastAsia="Times New Roman" w:hAnsi="Times New Roman" w:cs="Times New Roman"/>
          <w:color w:val="222222"/>
          <w:spacing w:val="8"/>
          <w:sz w:val="28"/>
          <w:szCs w:val="28"/>
          <w:lang w:eastAsia="it-IT"/>
        </w:rPr>
        <w:t xml:space="preserve"> tra versamenti sul conto di gioco e prelevamenti: anche in tal caso il rapporto di gioco si qualifica quale canale di mero transito di fondi, una sorta di “lavatrice” di denaro sporco, alla stregua di una carta prepagata.</w:t>
      </w:r>
    </w:p>
    <w:p w:rsidR="00DB127A" w:rsidRDefault="00DB127A" w:rsidP="00DB127A">
      <w:pPr>
        <w:pStyle w:val="Paragrafoelenco"/>
        <w:numPr>
          <w:ilvl w:val="0"/>
          <w:numId w:val="2"/>
        </w:numPr>
        <w:spacing w:after="0" w:line="276" w:lineRule="auto"/>
        <w:jc w:val="both"/>
        <w:rPr>
          <w:rFonts w:ascii="Times New Roman" w:eastAsia="Times New Roman" w:hAnsi="Times New Roman" w:cs="Times New Roman"/>
          <w:color w:val="222222"/>
          <w:spacing w:val="8"/>
          <w:sz w:val="28"/>
          <w:szCs w:val="28"/>
          <w:lang w:eastAsia="it-IT"/>
        </w:rPr>
      </w:pPr>
      <w:r w:rsidRPr="00AF1709">
        <w:rPr>
          <w:rFonts w:ascii="Times New Roman" w:eastAsia="Times New Roman" w:hAnsi="Times New Roman" w:cs="Times New Roman"/>
          <w:b/>
          <w:color w:val="222222"/>
          <w:spacing w:val="8"/>
          <w:sz w:val="28"/>
          <w:szCs w:val="28"/>
          <w:lang w:eastAsia="it-IT"/>
        </w:rPr>
        <w:t xml:space="preserve">Prelevamenti tramite strumenti non tracciati: </w:t>
      </w:r>
      <w:r w:rsidRPr="00AF1709">
        <w:rPr>
          <w:rFonts w:ascii="Times New Roman" w:eastAsia="Times New Roman" w:hAnsi="Times New Roman" w:cs="Times New Roman"/>
          <w:color w:val="222222"/>
          <w:spacing w:val="8"/>
          <w:sz w:val="28"/>
          <w:szCs w:val="28"/>
          <w:lang w:eastAsia="it-IT"/>
        </w:rPr>
        <w:t>come detto, la legge ha statuito la necessità del transito dei flussi di gioco su strumenti tracciabilità quali un conto corrente bancario o postale dedicato; proprio per questo, la fuoriuscita dai predetti rapporti mediante strumenti anonimi o meno tracciati (quali una o più carte di pagamento), è indicatore di una volontà di opacizzare l’intera operatività, al fine di rendere più difficoltoso l’intero processo di ricostruzione dei fondi;</w:t>
      </w:r>
    </w:p>
    <w:p w:rsidR="00DB127A" w:rsidRPr="00143BC0" w:rsidRDefault="00DB127A" w:rsidP="00DB127A">
      <w:pPr>
        <w:pStyle w:val="Paragrafoelenco"/>
        <w:numPr>
          <w:ilvl w:val="0"/>
          <w:numId w:val="2"/>
        </w:numPr>
        <w:spacing w:after="0" w:line="276" w:lineRule="auto"/>
        <w:jc w:val="both"/>
        <w:rPr>
          <w:rFonts w:ascii="Times New Roman" w:eastAsia="Times New Roman" w:hAnsi="Times New Roman" w:cs="Times New Roman"/>
          <w:color w:val="222222"/>
          <w:spacing w:val="8"/>
          <w:sz w:val="28"/>
          <w:szCs w:val="28"/>
          <w:lang w:eastAsia="it-IT"/>
        </w:rPr>
      </w:pPr>
      <w:r w:rsidRPr="00143BC0">
        <w:rPr>
          <w:rFonts w:ascii="Times New Roman" w:eastAsia="Times New Roman" w:hAnsi="Times New Roman" w:cs="Times New Roman"/>
          <w:b/>
          <w:color w:val="222222"/>
          <w:spacing w:val="8"/>
          <w:sz w:val="28"/>
          <w:szCs w:val="28"/>
          <w:lang w:eastAsia="it-IT"/>
        </w:rPr>
        <w:t>Azioni di gioco illogiche:</w:t>
      </w:r>
      <w:r w:rsidRPr="00143BC0">
        <w:rPr>
          <w:rFonts w:ascii="Times New Roman" w:eastAsia="Times New Roman" w:hAnsi="Times New Roman" w:cs="Times New Roman"/>
          <w:color w:val="222222"/>
          <w:spacing w:val="8"/>
          <w:sz w:val="28"/>
          <w:szCs w:val="28"/>
          <w:lang w:eastAsia="it-IT"/>
        </w:rPr>
        <w:t xml:space="preserve"> quali, ad esempio, il rilancio su un gioco accompagnato dalla sistematica uscita o perdite di gioco sempre a favore dello </w:t>
      </w:r>
      <w:r w:rsidRPr="00143BC0">
        <w:rPr>
          <w:rFonts w:ascii="Times New Roman" w:eastAsia="Times New Roman" w:hAnsi="Times New Roman" w:cs="Times New Roman"/>
          <w:color w:val="222222"/>
          <w:spacing w:val="8"/>
          <w:sz w:val="28"/>
          <w:szCs w:val="28"/>
          <w:lang w:eastAsia="it-IT"/>
        </w:rPr>
        <w:lastRenderedPageBreak/>
        <w:t>stesso giocatore, con la conseguenza che tali azioni si traducono in vere e proprie tecniche di trasferimento fondi a controparte ben individuata, senza intenzioni propriamente ludiche.</w:t>
      </w:r>
    </w:p>
    <w:p w:rsidR="00E10901" w:rsidRDefault="00DB127A">
      <w:bookmarkStart w:id="1" w:name="_GoBack"/>
      <w:bookmarkEnd w:id="1"/>
    </w:p>
    <w:sectPr w:rsidR="00E1090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27A" w:rsidRDefault="00DB127A" w:rsidP="00DB127A">
      <w:pPr>
        <w:spacing w:after="0" w:line="240" w:lineRule="auto"/>
      </w:pPr>
      <w:r>
        <w:separator/>
      </w:r>
    </w:p>
  </w:endnote>
  <w:endnote w:type="continuationSeparator" w:id="0">
    <w:p w:rsidR="00DB127A" w:rsidRDefault="00DB127A" w:rsidP="00DB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27A" w:rsidRDefault="00DB127A" w:rsidP="00DB127A">
      <w:pPr>
        <w:spacing w:after="0" w:line="240" w:lineRule="auto"/>
      </w:pPr>
      <w:r>
        <w:separator/>
      </w:r>
    </w:p>
  </w:footnote>
  <w:footnote w:type="continuationSeparator" w:id="0">
    <w:p w:rsidR="00DB127A" w:rsidRDefault="00DB127A" w:rsidP="00DB127A">
      <w:pPr>
        <w:spacing w:after="0" w:line="240" w:lineRule="auto"/>
      </w:pPr>
      <w:r>
        <w:continuationSeparator/>
      </w:r>
    </w:p>
  </w:footnote>
  <w:footnote w:id="1">
    <w:p w:rsidR="00DB127A" w:rsidRDefault="00DB127A" w:rsidP="00DB127A">
      <w:pPr>
        <w:pStyle w:val="Testonotaapidipagina"/>
        <w:jc w:val="both"/>
        <w:rPr>
          <w:rFonts w:ascii="Times New Roman" w:hAnsi="Times New Roman" w:cs="Times New Roman"/>
          <w:color w:val="000000" w:themeColor="text1"/>
          <w:sz w:val="18"/>
          <w:szCs w:val="18"/>
        </w:rPr>
      </w:pPr>
      <w:r w:rsidRPr="0088602B">
        <w:rPr>
          <w:rStyle w:val="Rimandonotaapidipagina"/>
          <w:rFonts w:ascii="Times New Roman" w:hAnsi="Times New Roman" w:cs="Times New Roman"/>
          <w:sz w:val="18"/>
          <w:szCs w:val="18"/>
        </w:rPr>
        <w:footnoteRef/>
      </w:r>
      <w:r w:rsidRPr="0088602B">
        <w:rPr>
          <w:rFonts w:ascii="Times New Roman" w:hAnsi="Times New Roman" w:cs="Times New Roman"/>
          <w:sz w:val="18"/>
          <w:szCs w:val="18"/>
        </w:rPr>
        <w:t xml:space="preserve"> Cfr. </w:t>
      </w:r>
      <w:r w:rsidRPr="00400BE8">
        <w:rPr>
          <w:rFonts w:ascii="Times New Roman" w:hAnsi="Times New Roman" w:cs="Times New Roman"/>
          <w:b/>
          <w:sz w:val="18"/>
          <w:szCs w:val="18"/>
        </w:rPr>
        <w:t>Report GAFI</w:t>
      </w:r>
      <w:r>
        <w:rPr>
          <w:rFonts w:ascii="Times New Roman" w:hAnsi="Times New Roman" w:cs="Times New Roman"/>
          <w:sz w:val="18"/>
          <w:szCs w:val="18"/>
        </w:rPr>
        <w:t xml:space="preserve"> reperibile al se</w:t>
      </w:r>
      <w:r w:rsidRPr="0088602B">
        <w:rPr>
          <w:rFonts w:ascii="Times New Roman" w:hAnsi="Times New Roman" w:cs="Times New Roman"/>
          <w:sz w:val="18"/>
          <w:szCs w:val="18"/>
        </w:rPr>
        <w:t xml:space="preserve">guente link: </w:t>
      </w:r>
      <w:hyperlink r:id="rId1" w:history="1">
        <w:r w:rsidRPr="007D5B45">
          <w:rPr>
            <w:rStyle w:val="Collegamentoipertestuale"/>
            <w:rFonts w:ascii="Times New Roman" w:hAnsi="Times New Roman" w:cs="Times New Roman"/>
            <w:i/>
            <w:sz w:val="18"/>
            <w:szCs w:val="18"/>
          </w:rPr>
          <w:t>https://www.fatfgafi.org/documents/documents/vulnerabilitiesofcasinosandgamingsector.html</w:t>
        </w:r>
      </w:hyperlink>
      <w:r w:rsidRPr="0088602B">
        <w:rPr>
          <w:rFonts w:ascii="Times New Roman" w:hAnsi="Times New Roman" w:cs="Times New Roman"/>
          <w:color w:val="000000" w:themeColor="text1"/>
          <w:sz w:val="18"/>
          <w:szCs w:val="18"/>
        </w:rPr>
        <w:t xml:space="preserve">; </w:t>
      </w:r>
    </w:p>
    <w:p w:rsidR="00DB127A" w:rsidRDefault="00DB127A" w:rsidP="00DB127A">
      <w:pPr>
        <w:pStyle w:val="Testonotaapidipagina"/>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Cfr. </w:t>
      </w:r>
      <w:r w:rsidRPr="00400BE8">
        <w:rPr>
          <w:rFonts w:ascii="Times New Roman" w:hAnsi="Times New Roman" w:cs="Times New Roman"/>
          <w:b/>
          <w:color w:val="000000" w:themeColor="text1"/>
          <w:sz w:val="18"/>
          <w:szCs w:val="18"/>
        </w:rPr>
        <w:t>Comunicazione Commissione Europea 23 ottobre 2012</w:t>
      </w:r>
      <w:r>
        <w:rPr>
          <w:rFonts w:ascii="Times New Roman" w:hAnsi="Times New Roman" w:cs="Times New Roman"/>
          <w:color w:val="000000" w:themeColor="text1"/>
          <w:sz w:val="18"/>
          <w:szCs w:val="18"/>
        </w:rPr>
        <w:t>;</w:t>
      </w:r>
    </w:p>
    <w:p w:rsidR="00DB127A" w:rsidRPr="00400BE8" w:rsidRDefault="00DB127A" w:rsidP="00DB127A">
      <w:pPr>
        <w:pStyle w:val="Testonotaapidipagina"/>
        <w:jc w:val="both"/>
        <w:rPr>
          <w:rFonts w:ascii="Times New Roman" w:hAnsi="Times New Roman" w:cs="Times New Roman"/>
          <w:color w:val="0070C0"/>
          <w:sz w:val="18"/>
          <w:szCs w:val="18"/>
          <w:u w:val="single"/>
        </w:rPr>
      </w:pPr>
      <w:r w:rsidRPr="0088602B">
        <w:rPr>
          <w:rFonts w:ascii="Times New Roman" w:hAnsi="Times New Roman" w:cs="Times New Roman"/>
          <w:color w:val="000000" w:themeColor="text1"/>
          <w:sz w:val="18"/>
          <w:szCs w:val="18"/>
        </w:rPr>
        <w:t>Cfr.</w:t>
      </w:r>
      <w:r w:rsidRPr="00400BE8">
        <w:rPr>
          <w:rFonts w:ascii="Times New Roman" w:hAnsi="Times New Roman" w:cs="Times New Roman"/>
          <w:color w:val="000000" w:themeColor="text1"/>
          <w:sz w:val="18"/>
          <w:szCs w:val="18"/>
        </w:rPr>
        <w:t xml:space="preserve"> </w:t>
      </w:r>
      <w:r w:rsidRPr="00400BE8">
        <w:rPr>
          <w:rFonts w:ascii="Times New Roman" w:hAnsi="Times New Roman" w:cs="Times New Roman"/>
          <w:b/>
          <w:color w:val="000000" w:themeColor="text1"/>
          <w:sz w:val="18"/>
          <w:szCs w:val="18"/>
        </w:rPr>
        <w:t>Libro Verde sul Gioco Online nel merc</w:t>
      </w:r>
      <w:r>
        <w:rPr>
          <w:rFonts w:ascii="Times New Roman" w:hAnsi="Times New Roman" w:cs="Times New Roman"/>
          <w:b/>
          <w:color w:val="000000" w:themeColor="text1"/>
          <w:sz w:val="18"/>
          <w:szCs w:val="18"/>
        </w:rPr>
        <w:t>a</w:t>
      </w:r>
      <w:r w:rsidRPr="00400BE8">
        <w:rPr>
          <w:rFonts w:ascii="Times New Roman" w:hAnsi="Times New Roman" w:cs="Times New Roman"/>
          <w:b/>
          <w:color w:val="000000" w:themeColor="text1"/>
          <w:sz w:val="18"/>
          <w:szCs w:val="18"/>
        </w:rPr>
        <w:t>to interno</w:t>
      </w:r>
      <w:r>
        <w:rPr>
          <w:rFonts w:ascii="Times New Roman" w:hAnsi="Times New Roman" w:cs="Times New Roman"/>
          <w:color w:val="000000" w:themeColor="text1"/>
          <w:sz w:val="18"/>
          <w:szCs w:val="18"/>
        </w:rPr>
        <w:t xml:space="preserve">  reperibile al seguente link:</w:t>
      </w:r>
      <w:r w:rsidRPr="00400BE8">
        <w:rPr>
          <w:rFonts w:ascii="Times New Roman" w:hAnsi="Times New Roman" w:cs="Times New Roman"/>
          <w:color w:val="0070C0"/>
          <w:sz w:val="18"/>
          <w:szCs w:val="18"/>
          <w:u w:val="single"/>
        </w:rPr>
        <w:t xml:space="preserve"> </w:t>
      </w:r>
      <w:hyperlink r:id="rId2" w:history="1">
        <w:r w:rsidRPr="007D5B45">
          <w:rPr>
            <w:rStyle w:val="Collegamentoipertestuale"/>
            <w:rFonts w:ascii="Times New Roman" w:hAnsi="Times New Roman" w:cs="Times New Roman"/>
            <w:sz w:val="18"/>
            <w:szCs w:val="18"/>
          </w:rPr>
          <w:t>https://www.adm.gov.it/portale/documents/20182/1105998/Libro-Verde-com2011-128-it-2-ago-11.pdf/ba05ae57-cd1f-4ff0-8316-d13a0edf3fb3</w:t>
        </w:r>
      </w:hyperlink>
      <w:r>
        <w:rPr>
          <w:rFonts w:ascii="Times New Roman" w:hAnsi="Times New Roman" w:cs="Times New Roman"/>
          <w:color w:val="0070C0"/>
          <w:sz w:val="18"/>
          <w:szCs w:val="18"/>
          <w:u w:val="single"/>
        </w:rPr>
        <w:t xml:space="preserve">; </w:t>
      </w:r>
    </w:p>
  </w:footnote>
  <w:footnote w:id="2">
    <w:p w:rsidR="00DB127A" w:rsidRPr="000E7A6F" w:rsidRDefault="00DB127A" w:rsidP="00DB127A">
      <w:pPr>
        <w:pStyle w:val="Testonotaapidipagina"/>
        <w:rPr>
          <w:rFonts w:ascii="Times New Roman" w:hAnsi="Times New Roman" w:cs="Times New Roman"/>
          <w:i/>
          <w:sz w:val="18"/>
          <w:szCs w:val="18"/>
        </w:rPr>
      </w:pPr>
      <w:r w:rsidRPr="000E7A6F">
        <w:rPr>
          <w:i/>
        </w:rPr>
        <w:footnoteRef/>
      </w:r>
      <w:r w:rsidRPr="000E7A6F">
        <w:rPr>
          <w:rFonts w:ascii="Times New Roman" w:hAnsi="Times New Roman" w:cs="Times New Roman"/>
          <w:i/>
          <w:sz w:val="18"/>
          <w:szCs w:val="18"/>
        </w:rPr>
        <w:t xml:space="preserve"> </w:t>
      </w:r>
      <w:r>
        <w:rPr>
          <w:rFonts w:ascii="Times New Roman" w:hAnsi="Times New Roman" w:cs="Times New Roman"/>
          <w:i/>
          <w:sz w:val="18"/>
          <w:szCs w:val="18"/>
        </w:rPr>
        <w:t>Videolottery;</w:t>
      </w:r>
    </w:p>
  </w:footnote>
  <w:footnote w:id="3">
    <w:p w:rsidR="00DB127A" w:rsidRPr="00FE2B6A" w:rsidRDefault="00DB127A" w:rsidP="00DB127A">
      <w:pPr>
        <w:pStyle w:val="Testonotaapidipagina"/>
        <w:jc w:val="both"/>
        <w:rPr>
          <w:rFonts w:ascii="Times New Roman" w:hAnsi="Times New Roman" w:cs="Times New Roman"/>
          <w:i/>
          <w:sz w:val="18"/>
          <w:szCs w:val="18"/>
        </w:rPr>
      </w:pPr>
      <w:r w:rsidRPr="001644AB">
        <w:rPr>
          <w:rStyle w:val="Rimandonotaapidipagina"/>
          <w:rFonts w:ascii="Times New Roman" w:hAnsi="Times New Roman" w:cs="Times New Roman"/>
          <w:sz w:val="18"/>
          <w:szCs w:val="18"/>
        </w:rPr>
        <w:footnoteRef/>
      </w:r>
      <w:r w:rsidRPr="001644AB">
        <w:rPr>
          <w:rFonts w:ascii="Times New Roman" w:hAnsi="Times New Roman" w:cs="Times New Roman"/>
          <w:sz w:val="18"/>
          <w:szCs w:val="18"/>
        </w:rPr>
        <w:t xml:space="preserve"> </w:t>
      </w:r>
      <w:r>
        <w:rPr>
          <w:rFonts w:ascii="Times New Roman" w:hAnsi="Times New Roman" w:cs="Times New Roman"/>
          <w:sz w:val="18"/>
          <w:szCs w:val="18"/>
        </w:rPr>
        <w:t xml:space="preserve">Cfr. </w:t>
      </w:r>
      <w:r w:rsidRPr="00061315">
        <w:rPr>
          <w:rFonts w:ascii="Times New Roman" w:hAnsi="Times New Roman" w:cs="Times New Roman"/>
          <w:b/>
          <w:sz w:val="18"/>
          <w:szCs w:val="18"/>
        </w:rPr>
        <w:t>art. 1, comma, 3 D.Lgs 90/17</w:t>
      </w:r>
      <w:r w:rsidRPr="00061315">
        <w:rPr>
          <w:rFonts w:ascii="Times New Roman" w:hAnsi="Times New Roman" w:cs="Times New Roman"/>
          <w:sz w:val="18"/>
          <w:szCs w:val="18"/>
        </w:rPr>
        <w:t>:</w:t>
      </w:r>
      <w:r w:rsidRPr="00FE2B6A">
        <w:rPr>
          <w:rFonts w:ascii="Times New Roman" w:hAnsi="Times New Roman" w:cs="Times New Roman"/>
          <w:sz w:val="18"/>
          <w:szCs w:val="18"/>
        </w:rPr>
        <w:t xml:space="preserve"> </w:t>
      </w:r>
      <w:r>
        <w:rPr>
          <w:rFonts w:ascii="Times New Roman" w:hAnsi="Times New Roman" w:cs="Times New Roman"/>
          <w:sz w:val="18"/>
          <w:szCs w:val="18"/>
        </w:rPr>
        <w:t>«</w:t>
      </w:r>
      <w:r>
        <w:rPr>
          <w:rFonts w:ascii="Times New Roman" w:hAnsi="Times New Roman" w:cs="Times New Roman"/>
          <w:i/>
          <w:sz w:val="18"/>
          <w:szCs w:val="18"/>
        </w:rPr>
        <w:t xml:space="preserve">c) concessionario </w:t>
      </w:r>
      <w:r w:rsidRPr="00FE2B6A">
        <w:rPr>
          <w:rFonts w:ascii="Times New Roman" w:hAnsi="Times New Roman" w:cs="Times New Roman"/>
          <w:i/>
          <w:sz w:val="18"/>
          <w:szCs w:val="18"/>
        </w:rPr>
        <w:t>di  gioco:  la  persona  giuridica  di  diritto pubblico o privato che offre,  per  conto  dello  Stato,  servizi  di gioco; f) distributori: le imprese private  che,  su  base  convenzionale, svolgono  per  conto  dei  concessionari  la  gestione  di  qualsiasi attivita' di gioco;   g) esercenti: titolari degli esercizi pubblici in cui viene  svolta l'attivita' di gioco</w:t>
      </w:r>
      <w:r>
        <w:rPr>
          <w:rFonts w:ascii="Times New Roman" w:hAnsi="Times New Roman" w:cs="Times New Roman"/>
          <w:i/>
          <w:sz w:val="18"/>
          <w:szCs w:val="18"/>
        </w:rPr>
        <w:t>»</w:t>
      </w:r>
      <w:r w:rsidRPr="00FE2B6A">
        <w:rPr>
          <w:rFonts w:ascii="Times New Roman" w:hAnsi="Times New Roman" w:cs="Times New Roman"/>
          <w:i/>
          <w:sz w:val="18"/>
          <w:szCs w:val="18"/>
        </w:rPr>
        <w:t>;</w:t>
      </w:r>
    </w:p>
  </w:footnote>
  <w:footnote w:id="4">
    <w:p w:rsidR="00DB127A" w:rsidRDefault="00DB127A" w:rsidP="00DB127A">
      <w:pPr>
        <w:pStyle w:val="Testonotaapidipagina"/>
        <w:jc w:val="both"/>
      </w:pPr>
      <w:r>
        <w:rPr>
          <w:rStyle w:val="Rimandonotaapidipagina"/>
        </w:rPr>
        <w:footnoteRef/>
      </w:r>
      <w:r>
        <w:t xml:space="preserve"> </w:t>
      </w:r>
      <w:r w:rsidRPr="00E2034A">
        <w:rPr>
          <w:b/>
        </w:rPr>
        <w:t>Comunicazione UIF 11 aprile 2013</w:t>
      </w:r>
      <w:r>
        <w:t>: “</w:t>
      </w:r>
      <w:r w:rsidRPr="00E2034A">
        <w:rPr>
          <w:i/>
        </w:rPr>
        <w:t>Schemi rappresentativi di comportamenti anomali ai sensi dell’articolo 6, comma 7, lettera b) del d.lgs. 231/2007 - Operatività connessa con il settore dei giochi e delle scommesse</w:t>
      </w:r>
      <w:r>
        <w:t>”;</w:t>
      </w:r>
    </w:p>
  </w:footnote>
  <w:footnote w:id="5">
    <w:p w:rsidR="00DB127A" w:rsidRPr="003F6810" w:rsidRDefault="00DB127A" w:rsidP="00DB127A">
      <w:pPr>
        <w:pStyle w:val="Testonotaapidipagina"/>
        <w:jc w:val="both"/>
        <w:rPr>
          <w:rFonts w:ascii="Times New Roman" w:hAnsi="Times New Roman" w:cs="Times New Roman"/>
          <w:sz w:val="18"/>
          <w:szCs w:val="18"/>
        </w:rPr>
      </w:pPr>
      <w:r w:rsidRPr="003F6810">
        <w:rPr>
          <w:rStyle w:val="Rimandonotaapidipagina"/>
          <w:rFonts w:ascii="Times New Roman" w:hAnsi="Times New Roman" w:cs="Times New Roman"/>
          <w:sz w:val="18"/>
          <w:szCs w:val="18"/>
        </w:rPr>
        <w:footnoteRef/>
      </w:r>
      <w:r w:rsidRPr="003F6810">
        <w:rPr>
          <w:rFonts w:ascii="Times New Roman" w:hAnsi="Times New Roman" w:cs="Times New Roman"/>
          <w:sz w:val="18"/>
          <w:szCs w:val="18"/>
        </w:rPr>
        <w:t xml:space="preserve"> Cfr. </w:t>
      </w:r>
      <w:r w:rsidRPr="003F6810">
        <w:rPr>
          <w:rFonts w:ascii="Times New Roman" w:hAnsi="Times New Roman" w:cs="Times New Roman"/>
          <w:b/>
          <w:sz w:val="18"/>
          <w:szCs w:val="18"/>
        </w:rPr>
        <w:t>art. 24, comma 27-bis d.l. 98/2011</w:t>
      </w:r>
      <w:r w:rsidRPr="003F6810">
        <w:rPr>
          <w:rFonts w:ascii="Times New Roman" w:hAnsi="Times New Roman" w:cs="Times New Roman"/>
          <w:sz w:val="18"/>
          <w:szCs w:val="18"/>
        </w:rPr>
        <w:t xml:space="preserve">, convertito con </w:t>
      </w:r>
      <w:r>
        <w:rPr>
          <w:rFonts w:ascii="Times New Roman" w:hAnsi="Times New Roman" w:cs="Times New Roman"/>
          <w:sz w:val="18"/>
          <w:szCs w:val="18"/>
        </w:rPr>
        <w:t>modificazioni dall’</w:t>
      </w:r>
      <w:r w:rsidRPr="004810F3">
        <w:rPr>
          <w:rFonts w:ascii="Times New Roman" w:hAnsi="Times New Roman" w:cs="Times New Roman"/>
          <w:b/>
          <w:sz w:val="18"/>
          <w:szCs w:val="18"/>
        </w:rPr>
        <w:t>art. 29</w:t>
      </w:r>
      <w:r w:rsidRPr="003F6810">
        <w:rPr>
          <w:rFonts w:ascii="Times New Roman" w:hAnsi="Times New Roman" w:cs="Times New Roman"/>
          <w:sz w:val="18"/>
          <w:szCs w:val="18"/>
        </w:rPr>
        <w:t xml:space="preserve"> </w:t>
      </w:r>
      <w:r w:rsidRPr="003F6810">
        <w:rPr>
          <w:rFonts w:ascii="Times New Roman" w:hAnsi="Times New Roman" w:cs="Times New Roman"/>
          <w:b/>
          <w:sz w:val="18"/>
          <w:szCs w:val="18"/>
        </w:rPr>
        <w:t>legge n. 111/2011</w:t>
      </w:r>
      <w:r w:rsidRPr="003F6810">
        <w:rPr>
          <w:rFonts w:ascii="Times New Roman" w:hAnsi="Times New Roman" w:cs="Times New Roman"/>
          <w:sz w:val="18"/>
          <w:szCs w:val="18"/>
        </w:rPr>
        <w:t xml:space="preserve"> e successive modifiche</w:t>
      </w:r>
      <w:r>
        <w:rPr>
          <w:rFonts w:ascii="Times New Roman" w:hAnsi="Times New Roman" w:cs="Times New Roman"/>
          <w:sz w:val="18"/>
          <w:szCs w:val="18"/>
        </w:rPr>
        <w:t>: «</w:t>
      </w:r>
      <w:r w:rsidRPr="004810F3">
        <w:rPr>
          <w:rFonts w:ascii="Times New Roman" w:hAnsi="Times New Roman" w:cs="Times New Roman"/>
          <w:sz w:val="18"/>
          <w:szCs w:val="18"/>
        </w:rPr>
        <w:t xml:space="preserve">29. </w:t>
      </w:r>
      <w:r w:rsidRPr="004810F3">
        <w:rPr>
          <w:rFonts w:ascii="Times New Roman" w:hAnsi="Times New Roman" w:cs="Times New Roman"/>
          <w:i/>
          <w:sz w:val="18"/>
          <w:szCs w:val="18"/>
        </w:rPr>
        <w:t>In coerenza con i principi recati dall'articolo 24, commi da 11 a 26, della legge 7 luglio 2009, n. 88, ed al fine di contrastare la diffusione del gioco irregolare ed illegale, l'evasione, l'elusione fiscale e il riciclaggio nel settore del gioco, nonchè di assicurare l'ordine pubblico e la tutela del giocatore, le società emittenti carte di credito, gli operatori bancari, finanziari e postali sono tenuti a segnalare in via telematica all'Amministrazione autonoma dei monopoli di Stato gli elementi identificativi di coloro che dispongono trasferimenti di denaro a favore di soggetti, indicati in apposito elenco predisposto dalla stessa Amministrazione autonoma, che offrono nel territorio dello Stato, attraverso reti telematiche o di telecomunicazione, giochi, scommesse o concorsi pronostici con vincite in denaro in difetto di concessione, autorizzazione, licenza od altro titolo autorizzatorio o abilitativo o, comunque, in violazione delle norme di legge o di regolamento o delle prescrizioni definite dalla predetta Amministrazione autonoma dei monopoli di Stato.</w:t>
      </w:r>
      <w:r>
        <w:rPr>
          <w:rFonts w:ascii="Times New Roman" w:hAnsi="Times New Roman" w:cs="Times New Roman"/>
          <w: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D66784"/>
    <w:multiLevelType w:val="hybridMultilevel"/>
    <w:tmpl w:val="EB1C14C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6D4B2F8E"/>
    <w:multiLevelType w:val="hybridMultilevel"/>
    <w:tmpl w:val="48623C2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789"/>
    <w:rsid w:val="00A347C2"/>
    <w:rsid w:val="00CB5D30"/>
    <w:rsid w:val="00DB127A"/>
    <w:rsid w:val="00E707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54C22-00E3-463F-AF5F-125562EB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127A"/>
  </w:style>
  <w:style w:type="paragraph" w:styleId="Titolo2">
    <w:name w:val="heading 2"/>
    <w:basedOn w:val="Normale"/>
    <w:next w:val="Normale"/>
    <w:link w:val="Titolo2Carattere"/>
    <w:uiPriority w:val="9"/>
    <w:unhideWhenUsed/>
    <w:qFormat/>
    <w:rsid w:val="00DB12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DB127A"/>
    <w:rPr>
      <w:rFonts w:asciiTheme="majorHAnsi" w:eastAsiaTheme="majorEastAsia" w:hAnsiTheme="majorHAnsi" w:cstheme="majorBidi"/>
      <w:color w:val="2E74B5" w:themeColor="accent1" w:themeShade="BF"/>
      <w:sz w:val="26"/>
      <w:szCs w:val="26"/>
    </w:rPr>
  </w:style>
  <w:style w:type="paragraph" w:styleId="Paragrafoelenco">
    <w:name w:val="List Paragraph"/>
    <w:basedOn w:val="Normale"/>
    <w:uiPriority w:val="34"/>
    <w:qFormat/>
    <w:rsid w:val="00DB127A"/>
    <w:pPr>
      <w:ind w:left="720"/>
      <w:contextualSpacing/>
    </w:pPr>
  </w:style>
  <w:style w:type="character" w:styleId="Collegamentoipertestuale">
    <w:name w:val="Hyperlink"/>
    <w:basedOn w:val="Carpredefinitoparagrafo"/>
    <w:uiPriority w:val="99"/>
    <w:unhideWhenUsed/>
    <w:rsid w:val="00DB127A"/>
    <w:rPr>
      <w:color w:val="0563C1" w:themeColor="hyperlink"/>
      <w:u w:val="single"/>
    </w:rPr>
  </w:style>
  <w:style w:type="paragraph" w:styleId="Testonotaapidipagina">
    <w:name w:val="footnote text"/>
    <w:basedOn w:val="Normale"/>
    <w:link w:val="TestonotaapidipaginaCarattere"/>
    <w:uiPriority w:val="99"/>
    <w:semiHidden/>
    <w:unhideWhenUsed/>
    <w:rsid w:val="00DB127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B127A"/>
    <w:rPr>
      <w:sz w:val="20"/>
      <w:szCs w:val="20"/>
    </w:rPr>
  </w:style>
  <w:style w:type="character" w:styleId="Rimandonotaapidipagina">
    <w:name w:val="footnote reference"/>
    <w:basedOn w:val="Carpredefinitoparagrafo"/>
    <w:uiPriority w:val="99"/>
    <w:semiHidden/>
    <w:unhideWhenUsed/>
    <w:rsid w:val="00DB12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adm.gov.it/portale/documents/20182/1105998/Libro-Verde-com2011-128-it-2-ago-11.pdf/ba05ae57-cd1f-4ff0-8316-d13a0edf3fb3" TargetMode="External"/><Relationship Id="rId1" Type="http://schemas.openxmlformats.org/officeDocument/2006/relationships/hyperlink" Target="https://www.fatfgafi.org/documents/documents/vulnerabilitiesofcasinosandgamingsector.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1466</Words>
  <Characters>8362</Characters>
  <Application>Microsoft Office Word</Application>
  <DocSecurity>0</DocSecurity>
  <Lines>69</Lines>
  <Paragraphs>19</Paragraphs>
  <ScaleCrop>false</ScaleCrop>
  <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Tarulli</dc:creator>
  <cp:keywords/>
  <dc:description/>
  <cp:lastModifiedBy>Claudio Tarulli</cp:lastModifiedBy>
  <cp:revision>2</cp:revision>
  <dcterms:created xsi:type="dcterms:W3CDTF">2020-05-21T10:33:00Z</dcterms:created>
  <dcterms:modified xsi:type="dcterms:W3CDTF">2020-05-21T10:33:00Z</dcterms:modified>
</cp:coreProperties>
</file>